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800" w:hanging="700" w:hangingChars="250"/>
        <w:rPr>
          <w:rFonts w:eastAsia="黑体"/>
          <w:kern w:val="0"/>
          <w:sz w:val="28"/>
          <w:szCs w:val="32"/>
        </w:rPr>
      </w:pPr>
      <w:r>
        <w:rPr>
          <w:rFonts w:eastAsia="黑体"/>
          <w:kern w:val="0"/>
          <w:sz w:val="28"/>
          <w:szCs w:val="32"/>
        </w:rPr>
        <w:t>附件1</w:t>
      </w:r>
    </w:p>
    <w:p>
      <w:pPr>
        <w:spacing w:line="600" w:lineRule="exact"/>
        <w:jc w:val="center"/>
        <w:rPr>
          <w:rFonts w:eastAsia="华文中宋"/>
          <w:sz w:val="32"/>
          <w:szCs w:val="32"/>
        </w:rPr>
      </w:pPr>
      <w:r>
        <w:rPr>
          <w:rFonts w:eastAsia="华文中宋"/>
          <w:kern w:val="0"/>
          <w:sz w:val="32"/>
          <w:szCs w:val="32"/>
        </w:rPr>
        <w:t>江苏省抗菌药物临床应用分级管理目录（2019年版）</w:t>
      </w:r>
    </w:p>
    <w:tbl>
      <w:tblPr>
        <w:tblStyle w:val="3"/>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2695"/>
        <w:gridCol w:w="225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1820" w:type="dxa"/>
            <w:shd w:val="clear" w:color="auto" w:fill="auto"/>
            <w:noWrap w:val="0"/>
            <w:vAlign w:val="center"/>
          </w:tcPr>
          <w:p>
            <w:pPr>
              <w:widowControl/>
              <w:jc w:val="center"/>
              <w:rPr>
                <w:rFonts w:eastAsia="方正黑体_GBK"/>
                <w:kern w:val="0"/>
                <w:sz w:val="24"/>
              </w:rPr>
            </w:pPr>
            <w:r>
              <w:rPr>
                <w:rFonts w:eastAsia="方正黑体_GBK"/>
                <w:kern w:val="0"/>
                <w:sz w:val="24"/>
              </w:rPr>
              <w:t>分类</w:t>
            </w:r>
          </w:p>
        </w:tc>
        <w:tc>
          <w:tcPr>
            <w:tcW w:w="2695" w:type="dxa"/>
            <w:shd w:val="clear" w:color="auto" w:fill="auto"/>
            <w:noWrap/>
            <w:vAlign w:val="center"/>
          </w:tcPr>
          <w:p>
            <w:pPr>
              <w:widowControl/>
              <w:jc w:val="center"/>
              <w:rPr>
                <w:rFonts w:eastAsia="方正黑体_GBK"/>
                <w:kern w:val="0"/>
                <w:sz w:val="24"/>
              </w:rPr>
            </w:pPr>
            <w:r>
              <w:rPr>
                <w:rFonts w:eastAsia="方正黑体_GBK"/>
                <w:kern w:val="0"/>
                <w:sz w:val="24"/>
              </w:rPr>
              <w:t>非限制使用</w:t>
            </w:r>
          </w:p>
        </w:tc>
        <w:tc>
          <w:tcPr>
            <w:tcW w:w="2256" w:type="dxa"/>
            <w:shd w:val="clear" w:color="auto" w:fill="auto"/>
            <w:noWrap/>
            <w:vAlign w:val="center"/>
          </w:tcPr>
          <w:p>
            <w:pPr>
              <w:widowControl/>
              <w:jc w:val="center"/>
              <w:rPr>
                <w:rFonts w:eastAsia="方正黑体_GBK"/>
                <w:kern w:val="0"/>
                <w:sz w:val="24"/>
              </w:rPr>
            </w:pPr>
            <w:r>
              <w:rPr>
                <w:rFonts w:eastAsia="方正黑体_GBK"/>
                <w:kern w:val="0"/>
                <w:sz w:val="24"/>
              </w:rPr>
              <w:t>限制使用</w:t>
            </w:r>
          </w:p>
        </w:tc>
        <w:tc>
          <w:tcPr>
            <w:tcW w:w="2030" w:type="dxa"/>
            <w:shd w:val="clear" w:color="auto" w:fill="auto"/>
            <w:noWrap/>
            <w:vAlign w:val="center"/>
          </w:tcPr>
          <w:p>
            <w:pPr>
              <w:widowControl/>
              <w:jc w:val="center"/>
              <w:rPr>
                <w:rFonts w:eastAsia="方正黑体_GBK"/>
                <w:kern w:val="0"/>
                <w:sz w:val="24"/>
              </w:rPr>
            </w:pPr>
            <w:r>
              <w:rPr>
                <w:rFonts w:eastAsia="方正黑体_GBK"/>
                <w:kern w:val="0"/>
                <w:sz w:val="24"/>
              </w:rPr>
              <w:t>特殊使用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广谱青霉素（12）</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阿莫西林</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阿洛西林</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仑氨西林#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氨苄西林</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美洛西林</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巴氨西林#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哌拉西林</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替卡西林</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呋布西林#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羧苄西林</w:t>
            </w:r>
          </w:p>
        </w:tc>
        <w:tc>
          <w:tcPr>
            <w:tcW w:w="2256" w:type="dxa"/>
            <w:shd w:val="clear" w:color="auto" w:fill="auto"/>
            <w:noWrap w:val="0"/>
            <w:vAlign w:val="center"/>
          </w:tcPr>
          <w:p>
            <w:pPr>
              <w:widowControl/>
              <w:jc w:val="left"/>
              <w:rPr>
                <w:rFonts w:eastAsia="方正仿宋_GBK"/>
                <w:kern w:val="0"/>
                <w:sz w:val="20"/>
              </w:rPr>
            </w:pP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阿帕西林#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磺苄西林</w:t>
            </w:r>
          </w:p>
        </w:tc>
        <w:tc>
          <w:tcPr>
            <w:tcW w:w="2256" w:type="dxa"/>
            <w:shd w:val="clear" w:color="auto" w:fill="auto"/>
            <w:noWrap w:val="0"/>
            <w:vAlign w:val="center"/>
          </w:tcPr>
          <w:p>
            <w:pPr>
              <w:widowControl/>
              <w:jc w:val="left"/>
              <w:rPr>
                <w:rFonts w:eastAsia="方正仿宋_GBK"/>
                <w:kern w:val="0"/>
                <w:sz w:val="20"/>
              </w:rPr>
            </w:pPr>
          </w:p>
        </w:tc>
        <w:tc>
          <w:tcPr>
            <w:tcW w:w="2030" w:type="dxa"/>
            <w:shd w:val="clear" w:color="auto" w:fill="auto"/>
            <w:noWrap w:val="0"/>
            <w:vAlign w:val="center"/>
          </w:tcPr>
          <w:p>
            <w:pPr>
              <w:widowControl/>
              <w:jc w:val="left"/>
              <w:rPr>
                <w:rFonts w:eastAsia="方正仿宋_GBK"/>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对青霉素酶不稳定的青霉素（4）</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青霉素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青霉素V</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苄星青霉素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普鲁卡因青霉素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对青霉素酶稳定的青霉素（5）</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苯唑西林</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氟氯西林</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萘夫西林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氯唑西林</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双氯西林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青霉素类复方制剂（14）</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氨苄西林/丙磺舒</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阿莫西林/克拉维酸</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阿莫西林/氟氯西林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阿莫西林/舒巴坦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阿莫西林/双氯西林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氨苄西林/舒巴坦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氨苄西林/氯唑西林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美洛西林/舒巴坦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舒他西林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替卡西林/克拉维酸</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哌拉西林/他唑巴坦*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哌拉西林/舒巴坦*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美洛西林/他唑巴坦*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替卡西林/他唑巴坦*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第一代头孢菌素（10）</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头孢氨苄</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头孢硫脒</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头孢匹林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头孢唑林</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头孢沙定</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头孢噻吩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头孢拉定</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头孢替唑</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头孢西酮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头孢羟氨苄</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第二代头孢菌素（7）</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头孢呋辛</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头孢替安</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头孢孟多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头孢克洛</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头孢尼西</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氯碳头孢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头孢丙烯</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p>
          <w:p>
            <w:pPr>
              <w:widowControl/>
              <w:jc w:val="center"/>
              <w:rPr>
                <w:rFonts w:eastAsia="方正仿宋_GBK"/>
                <w:bCs/>
                <w:kern w:val="0"/>
                <w:sz w:val="20"/>
              </w:rPr>
            </w:pPr>
          </w:p>
          <w:p>
            <w:pPr>
              <w:widowControl/>
              <w:jc w:val="center"/>
              <w:rPr>
                <w:rFonts w:eastAsia="方正仿宋_GBK"/>
                <w:bCs/>
                <w:kern w:val="0"/>
                <w:sz w:val="20"/>
              </w:rPr>
            </w:pPr>
          </w:p>
          <w:p>
            <w:pPr>
              <w:widowControl/>
              <w:jc w:val="center"/>
              <w:rPr>
                <w:rFonts w:eastAsia="方正仿宋_GBK"/>
                <w:bCs/>
                <w:kern w:val="0"/>
                <w:sz w:val="20"/>
              </w:rPr>
            </w:pPr>
          </w:p>
          <w:p>
            <w:pPr>
              <w:widowControl/>
              <w:jc w:val="center"/>
              <w:rPr>
                <w:rFonts w:eastAsia="方正仿宋_GBK"/>
                <w:bCs/>
                <w:kern w:val="0"/>
                <w:sz w:val="20"/>
              </w:rPr>
            </w:pPr>
          </w:p>
          <w:p>
            <w:pPr>
              <w:widowControl/>
              <w:jc w:val="center"/>
              <w:rPr>
                <w:rFonts w:eastAsia="方正仿宋_GBK"/>
                <w:bCs/>
                <w:kern w:val="0"/>
                <w:sz w:val="20"/>
              </w:rPr>
            </w:pPr>
            <w:r>
              <w:rPr>
                <w:rFonts w:eastAsia="方正仿宋_GBK"/>
                <w:bCs/>
                <w:kern w:val="0"/>
                <w:sz w:val="20"/>
              </w:rPr>
              <w:t>第三代头孢菌素（16）</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头孢曲松</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头孢噻肟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头孢特仑酯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头孢克肟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头孢他美酯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头孢他啶</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头孢地尼</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头孢托仑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头孢唑肟</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头孢甲肟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头孢泊肟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头孢哌酮</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头孢地嗪*</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头孢匹胺</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头孢布烯</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第四代头孢菌素（3）</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头孢吡肟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头孢匹罗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头孢噻利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头孢菌素复合制剂（8）</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头孢哌酮/舒巴坦*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头孢哌酮/他唑巴坦*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头孢曲松/舒巴坦*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头孢曲松/他唑巴坦*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头孢噻肟/舒巴坦*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头孢呋辛/舒巴坦*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头孢噻肟/他唑巴坦*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头孢他啶/舒巴坦*</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其他</w:t>
            </w:r>
            <w:r>
              <w:rPr>
                <w:rFonts w:eastAsia="方正仿宋_GBK"/>
                <w:kern w:val="0"/>
                <w:sz w:val="20"/>
              </w:rPr>
              <w:t>β</w:t>
            </w:r>
            <w:r>
              <w:rPr>
                <w:rFonts w:eastAsia="方正仿宋_GBK"/>
                <w:bCs/>
                <w:kern w:val="0"/>
                <w:sz w:val="20"/>
              </w:rPr>
              <w:t>-内酰胺类（9）</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头孢西丁*</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氟氧头孢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头孢美唑</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头孢拉宗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拉氧头孢</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氨曲南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头孢替坦</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卡芦莫南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头孢米诺*</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shd w:val="clear" w:color="auto" w:fill="auto"/>
            <w:noWrap w:val="0"/>
            <w:vAlign w:val="center"/>
          </w:tcPr>
          <w:p>
            <w:pPr>
              <w:widowControl/>
              <w:jc w:val="center"/>
              <w:rPr>
                <w:rFonts w:eastAsia="方正仿宋_GBK"/>
                <w:bCs/>
                <w:kern w:val="0"/>
                <w:sz w:val="20"/>
              </w:rPr>
            </w:pPr>
            <w:r>
              <w:rPr>
                <w:rFonts w:eastAsia="方正仿宋_GBK"/>
                <w:bCs/>
                <w:kern w:val="0"/>
                <w:sz w:val="20"/>
              </w:rPr>
              <w:t>β-内酰胺酶抑制剂（1）</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舒巴坦*</w:t>
            </w:r>
          </w:p>
        </w:tc>
        <w:tc>
          <w:tcPr>
            <w:tcW w:w="2030" w:type="dxa"/>
            <w:shd w:val="clear" w:color="auto" w:fill="auto"/>
            <w:noWrap w:val="0"/>
            <w:vAlign w:val="center"/>
          </w:tcPr>
          <w:p>
            <w:pPr>
              <w:widowControl/>
              <w:jc w:val="left"/>
              <w:rPr>
                <w:rFonts w:eastAsia="方正仿宋_GBK"/>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碳青霉烯类（7）</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美罗培南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亚胺培南/西司他丁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法罗培南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帕尼培南/倍他米隆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比阿培南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多尼培南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厄他培南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氨基糖苷类（16）</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庆大霉素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妥布霉素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卡那霉素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阿米卡星</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大观霉素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西索米星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链霉素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新霉素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小诺米星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依替米星</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奈替米星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巴龙霉素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异帕米星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地贝卡星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阿贝卡星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核糖霉素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大环内酯类（17）</w:t>
            </w:r>
          </w:p>
        </w:tc>
        <w:tc>
          <w:tcPr>
            <w:tcW w:w="2695" w:type="dxa"/>
            <w:shd w:val="clear" w:color="auto" w:fill="auto"/>
            <w:noWrap/>
            <w:vAlign w:val="center"/>
          </w:tcPr>
          <w:p>
            <w:pPr>
              <w:widowControl/>
              <w:jc w:val="left"/>
              <w:rPr>
                <w:rFonts w:eastAsia="方正仿宋_GBK"/>
                <w:kern w:val="0"/>
                <w:sz w:val="20"/>
              </w:rPr>
            </w:pPr>
            <w:r>
              <w:rPr>
                <w:rFonts w:eastAsia="方正仿宋_GBK"/>
                <w:kern w:val="0"/>
                <w:sz w:val="20"/>
              </w:rPr>
              <w:t>克拉霉素口服剂型</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克拉霉素注射剂</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泰利霉素#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阿奇霉素口服剂型</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阿奇霉素注射剂</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红霉素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麦白霉素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乳糖酸红霉素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地红霉素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琥乙红霉素</w:t>
            </w:r>
          </w:p>
        </w:tc>
        <w:tc>
          <w:tcPr>
            <w:tcW w:w="2256" w:type="dxa"/>
            <w:shd w:val="clear" w:color="auto" w:fill="auto"/>
            <w:noWrap/>
            <w:vAlign w:val="center"/>
          </w:tcPr>
          <w:p>
            <w:pPr>
              <w:widowControl/>
              <w:jc w:val="left"/>
              <w:rPr>
                <w:rFonts w:eastAsia="方正仿宋_GBK"/>
                <w:kern w:val="0"/>
                <w:sz w:val="20"/>
              </w:rPr>
            </w:pP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罗红霉素</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依托红霉素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环酯红霉素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麦迪霉素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螺旋霉素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吉他霉素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交沙霉素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喹诺酮类（21）</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诺氟沙星</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左氧氟沙星注射剂</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洛美沙星#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环丙沙星</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莫西沙星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氟罗沙星#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氧氟沙星</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安妥沙星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吉米沙星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吡哌酸</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加替沙星</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帕珠沙星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喹诺酮类（21）</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左氧氟沙星口服剂型</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司帕沙星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依诺沙星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培氟沙星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芦氟沙星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妥舒沙星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巴洛沙星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曲伐沙星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普卢利沙星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糖肽类（3）</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万古霉素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去甲万古霉素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替考拉宁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磺胺类和甲氧苄啶（6）</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复方磺胺甲噁唑</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磺胺甲噁唑</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磺胺异噁唑</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磺胺嘧啶</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联磺甲氧苄啶</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甲氧苄啶</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林可酰胺类（2）</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克林霉素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林可霉素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四环素类（6）</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四环素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米诺环素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替加环素#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土霉素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美他环素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多西环素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shd w:val="clear" w:color="auto" w:fill="auto"/>
            <w:noWrap w:val="0"/>
            <w:vAlign w:val="center"/>
          </w:tcPr>
          <w:p>
            <w:pPr>
              <w:widowControl/>
              <w:jc w:val="center"/>
              <w:rPr>
                <w:rFonts w:eastAsia="方正仿宋_GBK"/>
                <w:bCs/>
                <w:kern w:val="0"/>
                <w:sz w:val="20"/>
              </w:rPr>
            </w:pPr>
            <w:r>
              <w:rPr>
                <w:rFonts w:eastAsia="方正仿宋_GBK"/>
                <w:bCs/>
                <w:kern w:val="0"/>
                <w:sz w:val="20"/>
              </w:rPr>
              <w:t>酰胺醇类（2）</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氯霉素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甲砜霉素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p>
          <w:p>
            <w:pPr>
              <w:widowControl/>
              <w:jc w:val="center"/>
              <w:rPr>
                <w:rFonts w:eastAsia="方正仿宋_GBK"/>
                <w:bCs/>
                <w:kern w:val="0"/>
                <w:sz w:val="20"/>
              </w:rPr>
            </w:pPr>
          </w:p>
          <w:p>
            <w:pPr>
              <w:widowControl/>
              <w:jc w:val="center"/>
              <w:rPr>
                <w:rFonts w:eastAsia="方正仿宋_GBK"/>
                <w:bCs/>
                <w:kern w:val="0"/>
                <w:sz w:val="20"/>
              </w:rPr>
            </w:pPr>
            <w:r>
              <w:rPr>
                <w:rFonts w:eastAsia="方正仿宋_GBK"/>
                <w:bCs/>
                <w:kern w:val="0"/>
                <w:sz w:val="20"/>
              </w:rPr>
              <w:t>硝基咪唑类（6）</w:t>
            </w:r>
          </w:p>
          <w:p>
            <w:pPr>
              <w:widowControl/>
              <w:jc w:val="center"/>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甲硝唑</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塞克硝唑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左旋奥硝唑</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替硝唑</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奥硝唑</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bCs/>
                <w:kern w:val="0"/>
              </w:rPr>
              <w:t>吗啉硝唑</w:t>
            </w:r>
          </w:p>
        </w:tc>
        <w:tc>
          <w:tcPr>
            <w:tcW w:w="2256" w:type="dxa"/>
            <w:shd w:val="clear" w:color="auto" w:fill="auto"/>
            <w:noWrap w:val="0"/>
            <w:vAlign w:val="center"/>
          </w:tcPr>
          <w:p>
            <w:pPr>
              <w:widowControl/>
              <w:jc w:val="left"/>
              <w:rPr>
                <w:rFonts w:eastAsia="方正仿宋_GBK"/>
                <w:kern w:val="0"/>
                <w:sz w:val="20"/>
              </w:rPr>
            </w:pPr>
          </w:p>
        </w:tc>
        <w:tc>
          <w:tcPr>
            <w:tcW w:w="2030" w:type="dxa"/>
            <w:shd w:val="clear" w:color="auto" w:fill="auto"/>
            <w:noWrap/>
            <w:vAlign w:val="center"/>
          </w:tcPr>
          <w:p>
            <w:pPr>
              <w:widowControl/>
              <w:jc w:val="left"/>
              <w:rPr>
                <w:rFonts w:eastAsia="方正仿宋_GBK"/>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硝基呋喃类（3）</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呋喃妥因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呋喃唑酮</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硝呋太尔</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多粘菌素类（3）</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粘菌素口服剂型</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粘菌素注射剂#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多粘菌素B#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其他抗菌药物（8）</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磷霉素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新生霉素</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利奈唑胺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利福平</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达托霉素#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利福霉素</w:t>
            </w:r>
          </w:p>
        </w:tc>
        <w:tc>
          <w:tcPr>
            <w:tcW w:w="2030" w:type="dxa"/>
            <w:shd w:val="clear" w:color="auto" w:fill="auto"/>
            <w:noWrap w:val="0"/>
            <w:vAlign w:val="center"/>
          </w:tcPr>
          <w:p>
            <w:pPr>
              <w:widowControl/>
              <w:jc w:val="left"/>
              <w:rPr>
                <w:rFonts w:eastAsia="方正仿宋_GBK"/>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利福昔明</w:t>
            </w:r>
          </w:p>
        </w:tc>
        <w:tc>
          <w:tcPr>
            <w:tcW w:w="2030" w:type="dxa"/>
            <w:shd w:val="clear" w:color="auto" w:fill="auto"/>
            <w:noWrap/>
            <w:vAlign w:val="center"/>
          </w:tcPr>
          <w:p>
            <w:pPr>
              <w:widowControl/>
              <w:jc w:val="left"/>
              <w:rPr>
                <w:rFonts w:eastAsia="方正仿宋_GBK"/>
                <w:kern w:val="0"/>
                <w:sz w:val="20"/>
              </w:rPr>
            </w:pPr>
            <w:r>
              <w:rPr>
                <w:rFonts w:eastAsia="方正仿宋_GBK"/>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夫西地酸</w:t>
            </w:r>
          </w:p>
        </w:tc>
        <w:tc>
          <w:tcPr>
            <w:tcW w:w="2030" w:type="dxa"/>
            <w:shd w:val="clear" w:color="auto" w:fill="auto"/>
            <w:noWrap/>
            <w:vAlign w:val="center"/>
          </w:tcPr>
          <w:p>
            <w:pPr>
              <w:widowControl/>
              <w:jc w:val="left"/>
              <w:rPr>
                <w:rFonts w:eastAsia="方正仿宋_GBK"/>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restart"/>
            <w:shd w:val="clear" w:color="auto" w:fill="auto"/>
            <w:noWrap w:val="0"/>
            <w:vAlign w:val="center"/>
          </w:tcPr>
          <w:p>
            <w:pPr>
              <w:widowControl/>
              <w:jc w:val="center"/>
              <w:rPr>
                <w:rFonts w:eastAsia="方正仿宋_GBK"/>
                <w:bCs/>
                <w:kern w:val="0"/>
                <w:sz w:val="20"/>
              </w:rPr>
            </w:pPr>
            <w:r>
              <w:rPr>
                <w:rFonts w:eastAsia="方正仿宋_GBK"/>
                <w:bCs/>
                <w:kern w:val="0"/>
                <w:sz w:val="20"/>
              </w:rPr>
              <w:t>抗真菌药（19）</w:t>
            </w: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制霉菌素</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氟康唑注射剂</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两性霉素B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克霉唑</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伊曲康唑口服液</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伊曲康唑注射剂型#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氟胞嘧啶</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伏立康唑口服剂型</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伏立康唑注射剂型#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特比萘芬</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酮康唑</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泊沙康唑#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氟康唑口服剂型</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硝酸咪康唑</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阿尼芬净#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0"/>
            <w:vAlign w:val="center"/>
          </w:tcPr>
          <w:p>
            <w:pPr>
              <w:widowControl/>
              <w:jc w:val="left"/>
              <w:rPr>
                <w:rFonts w:eastAsia="方正仿宋_GBK"/>
                <w:kern w:val="0"/>
                <w:sz w:val="20"/>
              </w:rPr>
            </w:pPr>
            <w:r>
              <w:rPr>
                <w:rFonts w:eastAsia="方正仿宋_GBK"/>
                <w:kern w:val="0"/>
                <w:sz w:val="20"/>
              </w:rPr>
              <w:t>伊曲康唑胶囊</w:t>
            </w:r>
          </w:p>
        </w:tc>
        <w:tc>
          <w:tcPr>
            <w:tcW w:w="2256" w:type="dxa"/>
            <w:shd w:val="clear" w:color="auto" w:fill="auto"/>
            <w:noWrap w:val="0"/>
            <w:vAlign w:val="center"/>
          </w:tcPr>
          <w:p>
            <w:pPr>
              <w:widowControl/>
              <w:jc w:val="left"/>
              <w:rPr>
                <w:rFonts w:eastAsia="方正仿宋_GBK"/>
                <w:kern w:val="0"/>
                <w:sz w:val="20"/>
              </w:rPr>
            </w:pPr>
            <w:r>
              <w:rPr>
                <w:rFonts w:eastAsia="方正仿宋_GBK"/>
                <w:kern w:val="0"/>
                <w:sz w:val="20"/>
              </w:rPr>
              <w:t>硝酸舍他康唑</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卡泊芬净#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20" w:type="dxa"/>
            <w:vMerge w:val="continue"/>
            <w:shd w:val="clear" w:color="auto" w:fill="auto"/>
            <w:noWrap w:val="0"/>
            <w:vAlign w:val="center"/>
          </w:tcPr>
          <w:p>
            <w:pPr>
              <w:widowControl/>
              <w:jc w:val="left"/>
              <w:rPr>
                <w:rFonts w:eastAsia="方正仿宋_GBK"/>
                <w:bCs/>
                <w:kern w:val="0"/>
                <w:sz w:val="20"/>
              </w:rPr>
            </w:pPr>
          </w:p>
        </w:tc>
        <w:tc>
          <w:tcPr>
            <w:tcW w:w="2695"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256" w:type="dxa"/>
            <w:shd w:val="clear" w:color="auto" w:fill="auto"/>
            <w:noWrap/>
            <w:vAlign w:val="center"/>
          </w:tcPr>
          <w:p>
            <w:pPr>
              <w:widowControl/>
              <w:jc w:val="left"/>
              <w:rPr>
                <w:rFonts w:eastAsia="方正仿宋_GBK"/>
                <w:kern w:val="0"/>
                <w:sz w:val="20"/>
              </w:rPr>
            </w:pPr>
            <w:r>
              <w:rPr>
                <w:rFonts w:eastAsia="方正仿宋_GBK"/>
                <w:kern w:val="0"/>
                <w:sz w:val="20"/>
              </w:rPr>
              <w:t>　</w:t>
            </w:r>
          </w:p>
        </w:tc>
        <w:tc>
          <w:tcPr>
            <w:tcW w:w="2030" w:type="dxa"/>
            <w:shd w:val="clear" w:color="auto" w:fill="auto"/>
            <w:noWrap w:val="0"/>
            <w:vAlign w:val="center"/>
          </w:tcPr>
          <w:p>
            <w:pPr>
              <w:widowControl/>
              <w:jc w:val="left"/>
              <w:rPr>
                <w:rFonts w:eastAsia="方正仿宋_GBK"/>
                <w:kern w:val="0"/>
                <w:sz w:val="20"/>
              </w:rPr>
            </w:pPr>
            <w:r>
              <w:rPr>
                <w:rFonts w:eastAsia="方正仿宋_GBK"/>
                <w:kern w:val="0"/>
                <w:sz w:val="20"/>
              </w:rPr>
              <w:t>米卡芬净#</w:t>
            </w:r>
          </w:p>
        </w:tc>
      </w:tr>
    </w:tbl>
    <w:p>
      <w:pPr>
        <w:spacing w:line="400" w:lineRule="exact"/>
        <w:ind w:left="400" w:hanging="400" w:hangingChars="200"/>
        <w:rPr>
          <w:rFonts w:eastAsia="方正仿宋_GBK"/>
          <w:kern w:val="0"/>
          <w:sz w:val="20"/>
        </w:rPr>
      </w:pPr>
      <w:r>
        <w:rPr>
          <w:rFonts w:hint="eastAsia" w:eastAsia="方正仿宋_GBK"/>
          <w:kern w:val="0"/>
          <w:sz w:val="20"/>
        </w:rPr>
        <w:t>备</w:t>
      </w:r>
      <w:r>
        <w:rPr>
          <w:rFonts w:eastAsia="方正仿宋_GBK"/>
          <w:kern w:val="0"/>
          <w:sz w:val="20"/>
        </w:rPr>
        <w:t>注：</w:t>
      </w:r>
    </w:p>
    <w:p>
      <w:pPr>
        <w:spacing w:line="400" w:lineRule="exact"/>
        <w:ind w:firstLine="400" w:firstLineChars="200"/>
        <w:rPr>
          <w:rFonts w:eastAsia="方正仿宋_GBK"/>
          <w:kern w:val="0"/>
          <w:sz w:val="20"/>
        </w:rPr>
      </w:pPr>
      <w:r>
        <w:rPr>
          <w:rFonts w:eastAsia="方正仿宋_GBK"/>
          <w:kern w:val="0"/>
          <w:sz w:val="20"/>
        </w:rPr>
        <w:t>1、本目录依据卫生部《抗菌药物临床应用管理办法》（卫生部第84号令），并结合抗菌药物药理作用、安全性、有效性、对细菌耐药的影响及价格因素等综合考虑制定；</w:t>
      </w:r>
    </w:p>
    <w:p>
      <w:pPr>
        <w:spacing w:line="400" w:lineRule="exact"/>
        <w:ind w:firstLine="400" w:firstLineChars="200"/>
        <w:rPr>
          <w:rFonts w:eastAsia="方正仿宋_GBK"/>
          <w:kern w:val="0"/>
          <w:sz w:val="20"/>
        </w:rPr>
      </w:pPr>
      <w:r>
        <w:rPr>
          <w:rFonts w:eastAsia="方正仿宋_GBK"/>
          <w:kern w:val="0"/>
          <w:sz w:val="20"/>
        </w:rPr>
        <w:t>2、本目录所列抗菌药物是指治疗细菌、支原体、衣原体、立克次体、螺旋体、真菌等病原微生物所致感染性疾病病原的药物，不包括外用抗菌药物及治疗结核病、寄生虫病和各种病毒所致感染性疾病的药物以及具有抗菌作用的中药制剂；</w:t>
      </w:r>
    </w:p>
    <w:p>
      <w:pPr>
        <w:spacing w:line="400" w:lineRule="exact"/>
        <w:ind w:firstLine="400" w:firstLineChars="200"/>
        <w:rPr>
          <w:rFonts w:eastAsia="方正仿宋_GBK"/>
          <w:kern w:val="0"/>
          <w:sz w:val="20"/>
        </w:rPr>
      </w:pPr>
      <w:r>
        <w:rPr>
          <w:rFonts w:eastAsia="方正仿宋_GBK"/>
          <w:kern w:val="0"/>
          <w:sz w:val="20"/>
        </w:rPr>
        <w:t xml:space="preserve">3、标注“#”的药物，原则上仅限于三级医院使用。特殊情况下，其他医疗机构因治疗需要使用时，应由3名以上药学、临床医学等相关专业副高职称任职资格的人员会诊后决定，并做好记录；                                                                                                                                         </w:t>
      </w:r>
    </w:p>
    <w:p>
      <w:pPr>
        <w:spacing w:line="400" w:lineRule="exact"/>
        <w:ind w:firstLine="400" w:firstLineChars="200"/>
        <w:rPr>
          <w:rFonts w:eastAsia="方正仿宋_GBK"/>
          <w:kern w:val="0"/>
          <w:sz w:val="20"/>
        </w:rPr>
      </w:pPr>
      <w:r>
        <w:rPr>
          <w:rFonts w:eastAsia="方正仿宋_GBK"/>
          <w:kern w:val="0"/>
          <w:sz w:val="20"/>
        </w:rPr>
        <w:t>4、标注“*”的药物，需要加强管理，仅限住院患者使用，门诊不得使用；急诊、ICU病房视同普通病房管理；</w:t>
      </w:r>
    </w:p>
    <w:p>
      <w:pPr>
        <w:spacing w:line="400" w:lineRule="exact"/>
        <w:ind w:firstLine="400" w:firstLineChars="200"/>
        <w:rPr>
          <w:rFonts w:eastAsia="方正仿宋_GBK"/>
          <w:kern w:val="0"/>
          <w:sz w:val="20"/>
        </w:rPr>
      </w:pPr>
      <w:r>
        <w:rPr>
          <w:rFonts w:eastAsia="方正仿宋_GBK"/>
          <w:kern w:val="0"/>
          <w:sz w:val="20"/>
        </w:rPr>
        <w:t>5、除本目录内的含抗菌药物复合（方）制剂外，其他含抗菌药物成分的复合（方）制剂，均按所含抗菌药物的最高级别管理；</w:t>
      </w:r>
    </w:p>
    <w:p>
      <w:pPr>
        <w:spacing w:line="400" w:lineRule="exact"/>
        <w:ind w:firstLine="400" w:firstLineChars="200"/>
        <w:rPr>
          <w:rFonts w:eastAsia="方正仿宋_GBK"/>
          <w:kern w:val="0"/>
          <w:sz w:val="20"/>
        </w:rPr>
      </w:pPr>
      <w:r>
        <w:rPr>
          <w:rFonts w:eastAsia="方正仿宋_GBK"/>
          <w:kern w:val="0"/>
          <w:sz w:val="20"/>
        </w:rPr>
        <w:t>6、酰化、成酯类抗菌药物，按抗菌药物母体（母基）药物的级别管理；</w:t>
      </w:r>
    </w:p>
    <w:p>
      <w:pPr>
        <w:spacing w:line="400" w:lineRule="exact"/>
        <w:ind w:firstLine="400" w:firstLineChars="200"/>
        <w:rPr>
          <w:rFonts w:eastAsia="方正仿宋_GBK"/>
          <w:kern w:val="0"/>
          <w:sz w:val="20"/>
        </w:rPr>
      </w:pPr>
      <w:r>
        <w:rPr>
          <w:rFonts w:eastAsia="方正仿宋_GBK"/>
          <w:kern w:val="0"/>
          <w:sz w:val="20"/>
        </w:rPr>
        <w:t>7、诊疗科目含儿科的医疗机构，抗菌药物品种可增加1个儿童使用剂型规格；</w:t>
      </w:r>
    </w:p>
    <w:p>
      <w:r>
        <w:rPr>
          <w:rFonts w:eastAsia="方正仿宋_GBK"/>
          <w:kern w:val="0"/>
          <w:sz w:val="20"/>
        </w:rPr>
        <w:t>8、未收录的抗菌药物品种规格应参照特殊使用级别管理，并报省卫生健康委及当地卫生行政部门备案。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A5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2019-02-01T01:37:38Z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