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附件3</w:t>
      </w:r>
    </w:p>
    <w:p>
      <w:pPr>
        <w:rPr>
          <w:sz w:val="32"/>
          <w:szCs w:val="32"/>
        </w:rPr>
      </w:pPr>
    </w:p>
    <w:p>
      <w:pPr>
        <w:pStyle w:val="7"/>
        <w:spacing w:before="0" w:beforeAutospacing="0" w:after="0" w:afterAutospacing="0"/>
        <w:ind w:right="640" w:firstLine="2080" w:firstLineChars="650"/>
        <w:rPr>
          <w:rFonts w:ascii="仿宋_GB2312" w:eastAsia="仿宋_GB2312"/>
          <w:color w:val="484848"/>
          <w:sz w:val="32"/>
          <w:szCs w:val="32"/>
        </w:rPr>
      </w:pPr>
      <w:bookmarkStart w:id="0" w:name="_GoBack"/>
      <w:r>
        <w:rPr>
          <w:rFonts w:hint="eastAsia" w:ascii="黑体" w:hAnsi="黑体" w:eastAsia="黑体"/>
          <w:color w:val="484848"/>
          <w:sz w:val="32"/>
          <w:szCs w:val="32"/>
        </w:rPr>
        <w:t>消毒产品卫生安全评价规定</w:t>
      </w:r>
      <w:bookmarkEnd w:id="0"/>
    </w:p>
    <w:p>
      <w:pPr>
        <w:pStyle w:val="7"/>
        <w:spacing w:before="0" w:beforeAutospacing="0" w:after="0" w:afterAutospacing="0"/>
        <w:ind w:firstLine="640"/>
        <w:jc w:val="center"/>
        <w:rPr>
          <w:rFonts w:ascii="仿宋_GB2312" w:eastAsia="仿宋_GB2312"/>
          <w:color w:val="484848"/>
          <w:sz w:val="32"/>
          <w:szCs w:val="32"/>
        </w:rPr>
      </w:pPr>
      <w:r>
        <w:rPr>
          <w:rFonts w:hint="eastAsia" w:ascii="仿宋_GB2312" w:eastAsia="仿宋_GB2312"/>
          <w:b/>
          <w:bCs/>
          <w:color w:val="484848"/>
          <w:sz w:val="32"/>
          <w:szCs w:val="32"/>
        </w:rPr>
        <w:t> </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第一条 为进一步深化卫生行政审批制度改革，规范消毒产品的生产经营行为，保障用于传染病防治的消毒产品的有效性、安全性，依据《中华人民共和国传染病防治法》、《消毒管理办法》和有关规定，制定本规定。</w:t>
      </w:r>
    </w:p>
    <w:p>
      <w:pPr>
        <w:pStyle w:val="8"/>
        <w:spacing w:before="0" w:beforeAutospacing="0" w:after="0" w:afterAutospacing="0"/>
        <w:ind w:firstLine="641"/>
        <w:jc w:val="both"/>
        <w:rPr>
          <w:rFonts w:ascii="仿宋_GB2312" w:eastAsia="仿宋_GB2312"/>
          <w:color w:val="484848"/>
          <w:sz w:val="32"/>
          <w:szCs w:val="32"/>
        </w:rPr>
      </w:pPr>
      <w:r>
        <w:rPr>
          <w:rFonts w:hint="eastAsia" w:ascii="仿宋_GB2312" w:eastAsia="仿宋_GB2312"/>
          <w:color w:val="484848"/>
          <w:sz w:val="32"/>
          <w:szCs w:val="32"/>
        </w:rPr>
        <w:t>第二条 按照消毒产品用途、使用对象的风险程度实行分类管理。</w:t>
      </w:r>
    </w:p>
    <w:p>
      <w:pPr>
        <w:pStyle w:val="8"/>
        <w:spacing w:before="0" w:beforeAutospacing="0" w:after="0" w:afterAutospacing="0"/>
        <w:ind w:firstLine="641"/>
        <w:jc w:val="both"/>
        <w:rPr>
          <w:rFonts w:ascii="仿宋_GB2312" w:eastAsia="仿宋_GB2312"/>
          <w:color w:val="484848"/>
          <w:sz w:val="32"/>
          <w:szCs w:val="32"/>
        </w:rPr>
      </w:pPr>
      <w:r>
        <w:rPr>
          <w:rFonts w:hint="eastAsia" w:ascii="仿宋_GB2312" w:eastAsia="仿宋_GB2312"/>
          <w:color w:val="484848"/>
          <w:sz w:val="32"/>
          <w:szCs w:val="32"/>
        </w:rPr>
        <w:t>第一类是具有较高风险，需要严格管理以保证安全、有效的消毒产品，包括用于医疗器械的高水平消毒剂和消毒器械、灭菌剂和灭菌器械，皮肤黏膜消毒剂，生物指示物、灭菌效果化学指示物。第二类是具有中度风险，需要加强管理以保证安全、有效的消毒产品，包括除第一类产品外的消毒剂、消毒器械、化学指示物，以及带有灭菌标识的灭菌物品包装物、抗（抑）菌制剂。第三类是风险程度较低，实行常规管理可以保证安全、有效的除抗（抑）菌制剂外的卫生用品。</w:t>
      </w:r>
    </w:p>
    <w:p>
      <w:pPr>
        <w:pStyle w:val="8"/>
        <w:spacing w:before="0" w:beforeAutospacing="0" w:after="0" w:afterAutospacing="0"/>
        <w:ind w:firstLine="641"/>
        <w:jc w:val="both"/>
        <w:rPr>
          <w:rFonts w:ascii="仿宋_GB2312" w:eastAsia="仿宋_GB2312"/>
          <w:color w:val="484848"/>
          <w:sz w:val="32"/>
          <w:szCs w:val="32"/>
        </w:rPr>
      </w:pPr>
      <w:r>
        <w:rPr>
          <w:rFonts w:hint="eastAsia" w:ascii="仿宋_GB2312" w:eastAsia="仿宋_GB2312"/>
          <w:color w:val="484848"/>
          <w:sz w:val="32"/>
          <w:szCs w:val="32"/>
        </w:rPr>
        <w:t>同一个消毒产品涉及不同类别时，应当以较高风险类别进行管理。</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第三条 本规定适用于在中华人民共和国境内生产、经营的不需要行政审批的第一类、第二类消毒产品。</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第四条 产品责任单位应当在第一类、第二类消毒产品首次上市前自行或者委托第三方进行卫生安全评价，并对评价结果负责。卫生安全评价合格的消毒产品方可上市销售。</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产品责任单位是指依法承担因产品缺陷而致他人人身伤害或财产损失赔偿责任的单位或个人。国产产品责任单位为生产企业，委托生产加工时，特指委托方；进口产品的责任单位为在华责任单位。</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第五条 卫生安全评价内容包括产品标签（铭牌）、说明书、检验报告（含结论）、企业标准或质量标准、国产产品生产企业卫生许可资质、进口产品生产国（地区）允许生产销售的批文情况。其中，消毒剂、生物指示物、化学指示物、带有灭菌标识的灭菌物品包装物、抗（抑）菌制剂还包括产品配方，消毒器械还应当包括产品主要元器件、结构图。</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第六条 消毒产品的配方应当与实际生产的一致，配方的书写格式和要求见附件1。</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第七条 消毒产品原材料的级别、纯度和消毒器械主要元器件等原材料要求应当符合相应消毒产品卫生标准、技术规范和企业标准的要求。</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第八条 消毒器械的结构图应当与实际生产产品的结构一致，并标明主要元器件名称、技术参数和数量。</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第九条 消毒产品的标签（铭牌）、说明书应当符合《消毒产品标签说明书管理规范》和相关卫生标准的要求。</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第十条 产品责任单位在对消毒产品进行卫生安全评价时，应当对消毒产品进行检验，并对样品的真实性负责。所有检验项目应当使用同一个批次产品完成（检验项目及要求见附件2）</w:t>
      </w:r>
      <w:r>
        <w:rPr>
          <w:rFonts w:hint="eastAsia" w:ascii="仿宋_GB2312" w:eastAsia="仿宋_GB2312"/>
          <w:color w:val="000000"/>
          <w:sz w:val="32"/>
          <w:szCs w:val="32"/>
        </w:rPr>
        <w:t>。</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第十一条 消毒产品的检验应当在具备相应条件的消毒产品检验机构进行。消毒产品检验机构应当符合消毒管理的有关规定，通过实验室资质认定，在批准的检验能力范围内从事消毒产品检验活动。</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消毒产品检验机构应当遵循有关法律、法规及本规定，依据消毒产品卫生标准、技术规范和检验规范开展检验，出具检验报告（含结论），对检验数据和结果的真实性、准确性负责。如果卫生标准、技术规范没有明确检验方法，可按照企业标准进行检验。</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对出具虚假检验报告或者疏于管理难以保证检验质量的消毒产品检验机构，给予严肃处理。 </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第十二条 有下列情形之一的，应当对产品重新进行检验：</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一）实际生产地址迁移、另设分厂或车间、转委托生产加工的。其中，消毒剂和抗（抑）菌制剂应当进行有效成分含量测定、原液稳定性试验、pH值测定；消毒器械应当进行主要杀菌因子强度测定，不具备杀菌因子测定条件的应当进行模拟现场试验；生物指示物应当进行含菌量测定，</w:t>
      </w:r>
      <w:r>
        <w:rPr>
          <w:rFonts w:hint="eastAsia" w:ascii="仿宋_GB2312" w:eastAsia="仿宋_GB2312"/>
          <w:color w:val="000000"/>
          <w:sz w:val="32"/>
          <w:szCs w:val="32"/>
        </w:rPr>
        <w:t>化学指示物应当进行颜色变化情况测定，</w:t>
      </w:r>
      <w:r>
        <w:rPr>
          <w:rFonts w:hint="eastAsia" w:ascii="仿宋_GB2312" w:eastAsia="仿宋_GB2312"/>
          <w:color w:val="484848"/>
          <w:sz w:val="32"/>
          <w:szCs w:val="32"/>
        </w:rPr>
        <w:t>带有灭菌标识的灭菌物品包装物</w:t>
      </w:r>
      <w:r>
        <w:rPr>
          <w:rFonts w:hint="eastAsia" w:ascii="仿宋_GB2312" w:eastAsia="仿宋_GB2312"/>
          <w:color w:val="000000"/>
          <w:sz w:val="32"/>
          <w:szCs w:val="32"/>
        </w:rPr>
        <w:t>应当进行灭菌因子穿透性能测定；</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（二）消毒剂、抗（抑）菌制剂延长产品有效期的，应当进行有效成分含量、pH值、一项抗力最强的微生物杀灭（或抑制）试验和稳定性试验；使用原送检样品的只需做稳定性试验；</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（三）消毒剂、消毒器械和抗（抑）菌制剂增加使用范围或改变使用方法的，应当进行相应的理化、微生物杀灭（或抑制）和毒理试验。</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第十三条 国产产品企业标准和进口产品质量标准应当符合下列要求：</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一）消毒剂、抗（抑）菌制剂产品标准应当包括原材料卫生质量要求（包括级别、纯度）、技术要求（包括感官指标、理化指标、微生物学指标、杀灭微生物指标）及其检验方法、型式检验项目、出厂检验项目等；消毒器械标准应当包括名称与型号、原材料、主要元器件技术参数、技术要求（包括杀菌因子强度、杀灭微生物指标）及其检验方法、型式检验项目、出厂检验项目等；</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（二）产品技术要求应当符合国家卫生法律法规、规范和规定要求，并不低于相应产品卫生标准；</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（三）检验方法应当符合国家卫生法律法规、标准、规范和规定要求；</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（四）国产产品的企业标准应当依法备案，并在有效期内。</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第十四条 产品责任单位的卫生安全评价应当形成完整的《消毒产品卫生安全评价报告》，评价报告包括基本情况和评价资料两部分（格式见附件3）。卫生安全评价报告在全国范围内有效。第一类消毒产品卫生安全评价报告有效期为四年，第二类消毒产品卫生安全评价报告长期有效。</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一类、第二类消毒产品首次上市时，产品责任单位应当将卫生安全评价报告向所在地省级卫生计生行政部门备案（备案登记表见附件4）。省级卫生计生行政部门对卫生安全评价报告进行形式审查，资料齐全的应当在5个工作日内向产品责任单位出具备案凭证（备案凭证见附件5），并对备案的卫生安全评价报告加盖骑缝章。</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已完成卫生安全评价的产品上市后，产品如有改变（配方或结构、生产工艺）或有本规定第十二条规定情形的，产品责任单位应当及时更新《消毒产品卫生安全评价报告》相关内容，保证所评价产品与所生产销售产品相符，同时到原备案机关备案。</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一类消毒产品卫生安全评价报告有效期满前，生产企业应当重新进行卫生安全评价和备案。在对消毒产品进行检验时，只作关键项目。其中，消毒（灭菌）剂检验项目为有效成分含量、pH值和一项抗力最强的微生物杀灭试验，消毒（灭菌）器械检验项目为主要杀菌因子强度和一项抗力最强的微生物杀灭试验，生物指示物检验项目为含菌量的测定，灭菌化学指示物检验项目为颜色变化情况的测定。两年内国家监督抽检合格的检验项目可不再做。</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第十五条 产品经营、使用单位在经营、使用第一类、第二类消毒产品前，应当索取卫生安全评价报告和备案凭证复印件。其中卫生安全评价报告中的评价资料只包括标签（铭牌）、说明书、检验报告结论、国产产品生产企业卫生许可证、进口产品生产国（地区）允许生产销售的证明文件及报关单。</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第十六条 县级以上地方卫生计生行政部门及其综合监督执法机构应当加强对企业开展消毒产品卫生安全评价情况的卫生监督检查。省级卫生计生行政部门应当定期公告生产企业卫生许可和产品卫生安全评价相关信息。</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第十七条 有下列情形之一的，属于不符合国家卫生标准、卫生规范要求或卫生质量不合格的情形，依据《中华人民共和国传染病防治法》第七十三条或《消毒管理办法》第四十七条进行处理：</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（一）第一类、第二类消毒产品首次上市前未进行卫生安全评价的；</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（二）第一类消毒产品卫生安全评价报告有效期满未重新进行卫生安全评价的；</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（三）出具虚假卫生安全评价报告的；</w:t>
      </w:r>
    </w:p>
    <w:p>
      <w:pPr>
        <w:pStyle w:val="7"/>
        <w:spacing w:before="0" w:beforeAutospacing="0" w:after="0" w:afterAutospacing="0"/>
        <w:ind w:firstLine="640"/>
        <w:jc w:val="both"/>
        <w:rPr>
          <w:rFonts w:ascii="仿宋_GB2312" w:eastAsia="仿宋_GB2312"/>
          <w:color w:val="484848"/>
          <w:sz w:val="32"/>
          <w:szCs w:val="32"/>
        </w:rPr>
      </w:pPr>
      <w:r>
        <w:rPr>
          <w:rFonts w:hint="eastAsia" w:ascii="仿宋_GB2312" w:eastAsia="仿宋_GB2312"/>
          <w:color w:val="484848"/>
          <w:sz w:val="32"/>
          <w:szCs w:val="32"/>
        </w:rPr>
        <w:t>（四）卫生安全评价报告中评价项目不全的或评价报告结果显示产品不符合要求上市销售、使用的；</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（五）消毒产品有效期过期的；</w:t>
      </w:r>
    </w:p>
    <w:p>
      <w:pPr>
        <w:pStyle w:val="7"/>
        <w:spacing w:before="0" w:beforeAutospacing="0" w:after="0" w:afterAutospacing="0"/>
        <w:ind w:left="630"/>
        <w:rPr>
          <w:rFonts w:hint="eastAsia" w:ascii="仿宋_GB2312" w:eastAsia="仿宋_GB2312"/>
          <w:color w:val="484848"/>
          <w:sz w:val="32"/>
          <w:szCs w:val="32"/>
        </w:rPr>
      </w:pPr>
      <w:r>
        <w:rPr>
          <w:rFonts w:hint="eastAsia" w:ascii="仿宋_GB2312" w:eastAsia="仿宋_GB2312"/>
          <w:color w:val="484848"/>
          <w:sz w:val="32"/>
          <w:szCs w:val="32"/>
        </w:rPr>
        <w:t>（六）有本规定第十二条规定情形之一,未重新进行检验的;</w:t>
      </w:r>
    </w:p>
    <w:p>
      <w:pPr>
        <w:pStyle w:val="7"/>
        <w:spacing w:before="0" w:beforeAutospacing="0" w:after="0" w:afterAutospacing="0"/>
        <w:ind w:left="630"/>
        <w:rPr>
          <w:rFonts w:ascii="仿宋_GB2312" w:eastAsia="仿宋_GB2312"/>
          <w:color w:val="484848"/>
          <w:sz w:val="32"/>
          <w:szCs w:val="32"/>
        </w:rPr>
      </w:pPr>
      <w:r>
        <w:rPr>
          <w:rFonts w:hint="eastAsia" w:ascii="仿宋_GB2312" w:eastAsia="仿宋_GB2312"/>
          <w:color w:val="484848"/>
          <w:sz w:val="32"/>
          <w:szCs w:val="32"/>
        </w:rPr>
        <w:t>（七）产品上市后如有改变（配方或结构、生产工艺）或有</w:t>
      </w:r>
    </w:p>
    <w:p>
      <w:pPr>
        <w:pStyle w:val="7"/>
        <w:spacing w:before="0" w:beforeAutospacing="0" w:after="0" w:afterAutospacing="0"/>
        <w:jc w:val="both"/>
        <w:rPr>
          <w:rFonts w:ascii="仿宋_GB2312" w:eastAsia="仿宋_GB2312"/>
          <w:color w:val="484848"/>
          <w:sz w:val="32"/>
          <w:szCs w:val="32"/>
        </w:rPr>
      </w:pPr>
      <w:r>
        <w:rPr>
          <w:rFonts w:hint="eastAsia" w:ascii="仿宋_GB2312" w:eastAsia="仿宋_GB2312"/>
          <w:color w:val="484848"/>
          <w:sz w:val="32"/>
          <w:szCs w:val="32"/>
        </w:rPr>
        <w:t>本规定第十二条规定情形之一，未对卫生安全评价报告内容进行更新的。</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第十八条 本规定自印发之日起施行。</w:t>
      </w: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 </w:t>
      </w:r>
    </w:p>
    <w:p>
      <w:pPr>
        <w:pStyle w:val="7"/>
        <w:spacing w:before="0" w:beforeAutospacing="0" w:after="0" w:afterAutospacing="0"/>
        <w:ind w:firstLine="640"/>
        <w:rPr>
          <w:rFonts w:ascii="仿宋_GB2312" w:eastAsia="仿宋_GB2312"/>
          <w:color w:val="484848"/>
          <w:sz w:val="32"/>
          <w:szCs w:val="32"/>
        </w:rPr>
      </w:pPr>
      <w:r>
        <w:fldChar w:fldCharType="begin"/>
      </w:r>
      <w:r>
        <w:instrText xml:space="preserve"> HYPERLINK "http://www.nhfpc.gov.cn/ewebeditor/uploadfile/2014/07/20140709154030881.docx" \t "_blank" </w:instrText>
      </w:r>
      <w:r>
        <w:fldChar w:fldCharType="separate"/>
      </w:r>
      <w:r>
        <w:rPr>
          <w:rStyle w:val="5"/>
          <w:rFonts w:hint="eastAsia" w:ascii="仿宋_GB2312" w:eastAsia="仿宋_GB2312"/>
          <w:color w:val="484848"/>
          <w:sz w:val="32"/>
          <w:szCs w:val="32"/>
        </w:rPr>
        <w:t>附件1 配方的书写格式和要求.docx</w:t>
      </w:r>
      <w:r>
        <w:rPr>
          <w:rStyle w:val="5"/>
          <w:rFonts w:hint="eastAsia" w:ascii="仿宋_GB2312" w:eastAsia="仿宋_GB2312"/>
          <w:color w:val="484848"/>
          <w:sz w:val="32"/>
          <w:szCs w:val="32"/>
        </w:rPr>
        <w:fldChar w:fldCharType="end"/>
      </w:r>
    </w:p>
    <w:p>
      <w:pPr>
        <w:pStyle w:val="7"/>
        <w:spacing w:before="0" w:beforeAutospacing="0" w:after="0" w:afterAutospacing="0"/>
        <w:ind w:firstLine="640"/>
        <w:rPr>
          <w:rFonts w:ascii="仿宋_GB2312" w:eastAsia="仿宋_GB2312"/>
          <w:color w:val="484848"/>
          <w:sz w:val="32"/>
          <w:szCs w:val="32"/>
        </w:rPr>
      </w:pPr>
      <w:r>
        <w:fldChar w:fldCharType="begin"/>
      </w:r>
      <w:r>
        <w:instrText xml:space="preserve"> HYPERLINK "http://www.nhfpc.gov.cn/ewebeditor/uploadfile/2014/07/20140709154053283.docx" \t "_blank" </w:instrText>
      </w:r>
      <w:r>
        <w:fldChar w:fldCharType="separate"/>
      </w:r>
      <w:r>
        <w:rPr>
          <w:rStyle w:val="5"/>
          <w:rFonts w:hint="eastAsia" w:ascii="仿宋_GB2312" w:eastAsia="仿宋_GB2312"/>
          <w:color w:val="484848"/>
          <w:sz w:val="32"/>
          <w:szCs w:val="32"/>
        </w:rPr>
        <w:t>附件2 检验项目及要求.docx</w:t>
      </w:r>
      <w:r>
        <w:rPr>
          <w:rStyle w:val="5"/>
          <w:rFonts w:hint="eastAsia" w:ascii="仿宋_GB2312" w:eastAsia="仿宋_GB2312"/>
          <w:color w:val="484848"/>
          <w:sz w:val="32"/>
          <w:szCs w:val="32"/>
        </w:rPr>
        <w:fldChar w:fldCharType="end"/>
      </w:r>
    </w:p>
    <w:p>
      <w:pPr>
        <w:pStyle w:val="7"/>
        <w:spacing w:before="0" w:beforeAutospacing="0" w:after="0" w:afterAutospacing="0"/>
        <w:ind w:firstLine="640"/>
        <w:rPr>
          <w:rFonts w:ascii="仿宋_GB2312" w:eastAsia="仿宋_GB2312"/>
          <w:color w:val="484848"/>
          <w:sz w:val="32"/>
          <w:szCs w:val="32"/>
        </w:rPr>
      </w:pPr>
    </w:p>
    <w:p>
      <w:pPr>
        <w:pStyle w:val="7"/>
        <w:spacing w:before="0" w:beforeAutospacing="0" w:after="0" w:afterAutospacing="0"/>
        <w:ind w:firstLine="640"/>
        <w:rPr>
          <w:rFonts w:ascii="仿宋_GB2312" w:eastAsia="仿宋_GB2312"/>
          <w:color w:val="484848"/>
          <w:sz w:val="32"/>
          <w:szCs w:val="32"/>
        </w:rPr>
      </w:pPr>
      <w:r>
        <w:rPr>
          <w:rFonts w:hint="eastAsia" w:ascii="仿宋_GB2312" w:eastAsia="仿宋_GB2312"/>
          <w:color w:val="484848"/>
          <w:sz w:val="32"/>
          <w:szCs w:val="32"/>
        </w:rPr>
        <w:t>  </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rFonts w:ascii="黑体" w:eastAsia="黑体"/>
          <w:sz w:val="32"/>
          <w:szCs w:val="32"/>
        </w:rPr>
      </w:pPr>
      <w:r>
        <w:rPr>
          <w:rFonts w:hint="eastAsia" w:ascii="黑体" w:eastAsia="黑体"/>
          <w:sz w:val="32"/>
          <w:szCs w:val="32"/>
        </w:rPr>
        <w:t>附件1</w:t>
      </w:r>
    </w:p>
    <w:p>
      <w:pPr>
        <w:rPr>
          <w:rFonts w:ascii="黑体" w:eastAsia="黑体"/>
          <w:sz w:val="32"/>
          <w:szCs w:val="32"/>
        </w:rPr>
      </w:pPr>
    </w:p>
    <w:p>
      <w:pPr>
        <w:widowControl/>
        <w:tabs>
          <w:tab w:val="left" w:pos="720"/>
        </w:tabs>
        <w:spacing w:line="500" w:lineRule="exact"/>
        <w:ind w:left="540"/>
        <w:jc w:val="center"/>
        <w:rPr>
          <w:rFonts w:ascii="宋体" w:hAnsi="宋体" w:cs="宋体"/>
          <w:kern w:val="0"/>
          <w:sz w:val="32"/>
          <w:szCs w:val="32"/>
        </w:rPr>
      </w:pPr>
      <w:r>
        <w:rPr>
          <w:rFonts w:hint="eastAsia" w:ascii="宋体" w:hAnsi="宋体" w:cs="宋体"/>
          <w:kern w:val="0"/>
          <w:sz w:val="32"/>
          <w:szCs w:val="32"/>
        </w:rPr>
        <w:t>配方的书写格式和要求</w:t>
      </w:r>
    </w:p>
    <w:p>
      <w:pPr>
        <w:widowControl/>
        <w:tabs>
          <w:tab w:val="left" w:pos="720"/>
        </w:tabs>
        <w:spacing w:line="500" w:lineRule="exact"/>
        <w:ind w:left="540"/>
        <w:jc w:val="center"/>
        <w:rPr>
          <w:rFonts w:ascii="仿宋_GB2312" w:hAnsi="宋体" w:eastAsia="仿宋_GB2312" w:cs="宋体"/>
          <w:bCs/>
          <w:kern w:val="0"/>
          <w:sz w:val="28"/>
          <w:szCs w:val="28"/>
        </w:rPr>
      </w:pPr>
    </w:p>
    <w:tbl>
      <w:tblPr>
        <w:tblStyle w:val="6"/>
        <w:tblW w:w="87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195"/>
        <w:gridCol w:w="1309"/>
        <w:gridCol w:w="1110"/>
        <w:gridCol w:w="1154"/>
        <w:gridCol w:w="1126"/>
        <w:gridCol w:w="1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114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ind w:left="315" w:hanging="315" w:hangingChars="150"/>
              <w:jc w:val="center"/>
              <w:rPr>
                <w:rFonts w:ascii="仿宋_GB2312" w:hAnsi="宋体" w:eastAsia="仿宋_GB2312" w:cs="宋体"/>
                <w:bCs/>
                <w:kern w:val="0"/>
                <w:szCs w:val="21"/>
              </w:rPr>
            </w:pPr>
            <w:r>
              <w:rPr>
                <w:rFonts w:hint="eastAsia" w:ascii="仿宋_GB2312" w:hAnsi="宋体" w:eastAsia="仿宋_GB2312" w:cs="宋体"/>
                <w:bCs/>
                <w:kern w:val="0"/>
                <w:szCs w:val="21"/>
              </w:rPr>
              <w:t>原材料</w:t>
            </w:r>
          </w:p>
          <w:p>
            <w:pPr>
              <w:widowControl/>
              <w:spacing w:line="500" w:lineRule="exact"/>
              <w:ind w:left="315" w:hanging="315" w:hangingChars="150"/>
              <w:jc w:val="center"/>
              <w:rPr>
                <w:rFonts w:ascii="仿宋_GB2312" w:hAnsi="宋体" w:eastAsia="仿宋_GB2312" w:cs="宋体"/>
                <w:bCs/>
                <w:kern w:val="0"/>
                <w:szCs w:val="21"/>
                <w:vertAlign w:val="superscript"/>
              </w:rPr>
            </w:pPr>
            <w:r>
              <w:rPr>
                <w:rFonts w:hint="eastAsia" w:ascii="仿宋_GB2312" w:hAnsi="宋体" w:eastAsia="仿宋_GB2312" w:cs="宋体"/>
                <w:bCs/>
                <w:kern w:val="0"/>
                <w:szCs w:val="21"/>
              </w:rPr>
              <w:t>名称</w:t>
            </w:r>
          </w:p>
        </w:tc>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ind w:left="315" w:hanging="315" w:hangingChars="150"/>
              <w:jc w:val="center"/>
              <w:rPr>
                <w:rFonts w:ascii="仿宋_GB2312" w:hAnsi="宋体" w:eastAsia="仿宋_GB2312" w:cs="宋体"/>
                <w:bCs/>
                <w:kern w:val="0"/>
                <w:szCs w:val="21"/>
              </w:rPr>
            </w:pPr>
            <w:r>
              <w:rPr>
                <w:rFonts w:hint="eastAsia" w:ascii="仿宋_GB2312" w:hAnsi="宋体" w:eastAsia="仿宋_GB2312" w:cs="宋体"/>
                <w:bCs/>
                <w:kern w:val="0"/>
                <w:szCs w:val="21"/>
              </w:rPr>
              <w:t>CAS号</w:t>
            </w:r>
          </w:p>
        </w:tc>
        <w:tc>
          <w:tcPr>
            <w:tcW w:w="13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原材料商品名称</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ind w:left="-11" w:leftChars="-37" w:right="-90" w:rightChars="-43" w:hanging="67" w:hangingChars="32"/>
              <w:jc w:val="center"/>
              <w:rPr>
                <w:rFonts w:ascii="仿宋_GB2312" w:hAnsi="宋体" w:eastAsia="仿宋_GB2312" w:cs="宋体"/>
                <w:bCs/>
                <w:kern w:val="0"/>
                <w:szCs w:val="21"/>
              </w:rPr>
            </w:pPr>
            <w:r>
              <w:rPr>
                <w:rFonts w:hint="eastAsia" w:ascii="仿宋_GB2312" w:hAnsi="宋体" w:eastAsia="仿宋_GB2312" w:cs="宋体"/>
                <w:bCs/>
                <w:kern w:val="0"/>
                <w:szCs w:val="21"/>
              </w:rPr>
              <w:t>原材料</w:t>
            </w:r>
          </w:p>
          <w:p>
            <w:pPr>
              <w:widowControl/>
              <w:spacing w:line="500" w:lineRule="exact"/>
              <w:ind w:left="-11" w:leftChars="-37" w:right="-90" w:rightChars="-43" w:hanging="67" w:hangingChars="32"/>
              <w:jc w:val="center"/>
              <w:rPr>
                <w:rFonts w:ascii="仿宋_GB2312" w:hAnsi="宋体" w:eastAsia="仿宋_GB2312" w:cs="宋体"/>
                <w:bCs/>
                <w:kern w:val="0"/>
                <w:szCs w:val="21"/>
              </w:rPr>
            </w:pPr>
            <w:r>
              <w:rPr>
                <w:rFonts w:hint="eastAsia" w:ascii="仿宋_GB2312" w:hAnsi="宋体" w:eastAsia="仿宋_GB2312" w:cs="宋体"/>
                <w:bCs/>
                <w:kern w:val="0"/>
                <w:szCs w:val="21"/>
              </w:rPr>
              <w:t>纯度</w:t>
            </w:r>
          </w:p>
        </w:tc>
        <w:tc>
          <w:tcPr>
            <w:tcW w:w="11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原材料</w:t>
            </w:r>
          </w:p>
          <w:p>
            <w:pPr>
              <w:widowControl/>
              <w:spacing w:line="50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级别</w:t>
            </w:r>
          </w:p>
        </w:tc>
        <w:tc>
          <w:tcPr>
            <w:tcW w:w="11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50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原材料</w:t>
            </w:r>
          </w:p>
          <w:p>
            <w:pPr>
              <w:widowControl/>
              <w:spacing w:line="50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投加量</w:t>
            </w: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spacing w:line="500" w:lineRule="exact"/>
              <w:ind w:left="309" w:hanging="309" w:hangingChars="147"/>
              <w:jc w:val="center"/>
              <w:rPr>
                <w:rFonts w:ascii="仿宋_GB2312" w:hAnsi="宋体" w:eastAsia="仿宋_GB2312" w:cs="宋体"/>
                <w:bCs/>
                <w:kern w:val="0"/>
                <w:szCs w:val="21"/>
              </w:rPr>
            </w:pPr>
            <w:r>
              <w:rPr>
                <w:rFonts w:hint="eastAsia" w:ascii="仿宋_GB2312" w:hAnsi="宋体" w:eastAsia="仿宋_GB2312" w:cs="宋体"/>
                <w:bCs/>
                <w:kern w:val="0"/>
                <w:szCs w:val="21"/>
              </w:rPr>
              <w:t>原材料投加</w:t>
            </w:r>
          </w:p>
          <w:p>
            <w:pPr>
              <w:widowControl/>
              <w:spacing w:line="500" w:lineRule="exact"/>
              <w:ind w:left="309" w:hanging="309" w:hangingChars="147"/>
              <w:jc w:val="center"/>
              <w:rPr>
                <w:rFonts w:ascii="仿宋_GB2312" w:hAnsi="宋体" w:eastAsia="仿宋_GB2312" w:cs="宋体"/>
                <w:bCs/>
                <w:kern w:val="0"/>
                <w:szCs w:val="21"/>
              </w:rPr>
            </w:pPr>
            <w:r>
              <w:rPr>
                <w:rFonts w:hint="eastAsia" w:ascii="仿宋_GB2312" w:hAnsi="宋体" w:eastAsia="仿宋_GB2312" w:cs="宋体"/>
                <w:bCs/>
                <w:kern w:val="0"/>
                <w:szCs w:val="21"/>
              </w:rPr>
              <w:t>百分比（%）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95"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309"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10"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5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126"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c>
          <w:tcPr>
            <w:tcW w:w="1714" w:type="dxa"/>
            <w:tcBorders>
              <w:top w:val="single" w:color="auto" w:sz="4" w:space="0"/>
              <w:left w:val="single" w:color="auto" w:sz="4" w:space="0"/>
              <w:bottom w:val="single" w:color="auto" w:sz="4" w:space="0"/>
              <w:right w:val="single" w:color="auto" w:sz="4" w:space="0"/>
            </w:tcBorders>
            <w:shd w:val="clear" w:color="auto" w:fill="auto"/>
          </w:tcPr>
          <w:p>
            <w:pPr>
              <w:widowControl/>
              <w:tabs>
                <w:tab w:val="left" w:pos="720"/>
              </w:tabs>
              <w:spacing w:line="500" w:lineRule="exact"/>
              <w:jc w:val="left"/>
              <w:rPr>
                <w:rFonts w:ascii="仿宋_GB2312" w:hAnsi="宋体" w:eastAsia="仿宋_GB2312" w:cs="宋体"/>
                <w:kern w:val="0"/>
                <w:sz w:val="32"/>
                <w:szCs w:val="32"/>
              </w:rPr>
            </w:pPr>
          </w:p>
        </w:tc>
      </w:tr>
    </w:tbl>
    <w:p>
      <w:pPr>
        <w:widowControl/>
        <w:spacing w:beforeLines="50" w:line="400" w:lineRule="exact"/>
        <w:ind w:left="623" w:hanging="623" w:hangingChars="346"/>
        <w:jc w:val="left"/>
        <w:rPr>
          <w:rFonts w:ascii="仿宋_GB2312" w:hAnsi="宋体" w:eastAsia="仿宋_GB2312" w:cs="宋体"/>
          <w:bCs/>
          <w:kern w:val="0"/>
          <w:sz w:val="18"/>
          <w:szCs w:val="18"/>
        </w:rPr>
      </w:pPr>
      <w:r>
        <w:rPr>
          <w:rFonts w:hint="eastAsia" w:ascii="仿宋_GB2312" w:hAnsi="宋体" w:eastAsia="仿宋_GB2312" w:cs="宋体"/>
          <w:kern w:val="0"/>
          <w:sz w:val="18"/>
          <w:szCs w:val="18"/>
        </w:rPr>
        <w:t>注：</w:t>
      </w:r>
      <w:r>
        <w:rPr>
          <w:rFonts w:hint="eastAsia" w:ascii="仿宋_GB2312" w:hAnsi="宋体" w:eastAsia="仿宋_GB2312" w:cs="宋体"/>
          <w:bCs/>
          <w:kern w:val="0"/>
          <w:sz w:val="18"/>
          <w:szCs w:val="18"/>
        </w:rPr>
        <w:t>1.单一化学原材料应填写原材料的化学名称、CAS号和商品名称。单一的植物原材料应填写拉丁文名称。</w:t>
      </w:r>
    </w:p>
    <w:p>
      <w:pPr>
        <w:widowControl/>
        <w:spacing w:line="500" w:lineRule="exact"/>
        <w:ind w:left="541" w:leftChars="172" w:hanging="180" w:hangingChars="100"/>
        <w:rPr>
          <w:rFonts w:ascii="仿宋_GB2312" w:hAnsi="宋体" w:eastAsia="仿宋_GB2312" w:cs="宋体"/>
          <w:bCs/>
          <w:kern w:val="0"/>
          <w:sz w:val="18"/>
          <w:szCs w:val="18"/>
        </w:rPr>
      </w:pPr>
      <w:r>
        <w:rPr>
          <w:rFonts w:hint="eastAsia" w:ascii="仿宋_GB2312" w:hAnsi="宋体" w:eastAsia="仿宋_GB2312" w:cs="宋体"/>
          <w:bCs/>
          <w:kern w:val="0"/>
          <w:sz w:val="18"/>
          <w:szCs w:val="18"/>
        </w:rPr>
        <w:t>2.复合原材料只填写复合原材料的商品名，但应另行列明复合原材料的组分构成，包括各组分的原材料化学名称（或植物拉丁文名称）、CAS号以及原材料投加百分比。</w:t>
      </w:r>
    </w:p>
    <w:p>
      <w:pPr>
        <w:widowControl/>
        <w:spacing w:beforeLines="50" w:line="400" w:lineRule="exact"/>
        <w:ind w:left="533" w:leftChars="168" w:hanging="180" w:hangingChars="100"/>
        <w:jc w:val="left"/>
        <w:rPr>
          <w:rFonts w:ascii="仿宋_GB2312" w:hAnsi="宋体" w:eastAsia="仿宋_GB2312" w:cs="宋体"/>
          <w:bCs/>
          <w:kern w:val="0"/>
          <w:sz w:val="18"/>
          <w:szCs w:val="18"/>
        </w:rPr>
      </w:pPr>
      <w:r>
        <w:rPr>
          <w:rFonts w:hint="eastAsia" w:ascii="仿宋_GB2312" w:hAnsi="宋体" w:eastAsia="仿宋_GB2312" w:cs="宋体"/>
          <w:bCs/>
          <w:kern w:val="0"/>
          <w:sz w:val="18"/>
          <w:szCs w:val="18"/>
        </w:rPr>
        <w:t>3.以植物提取物为原材料的只填写原料商品名，但应另行列明提取物所使用的植物拉丁文名称及其用量、提取工艺和提取液的质量规格。</w:t>
      </w: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rPr>
          <w:sz w:val="32"/>
          <w:szCs w:val="32"/>
        </w:rPr>
      </w:pPr>
    </w:p>
    <w:p>
      <w:pPr>
        <w:widowControl/>
        <w:tabs>
          <w:tab w:val="left" w:pos="720"/>
        </w:tabs>
        <w:snapToGrid w:val="0"/>
        <w:spacing w:line="500" w:lineRule="exact"/>
        <w:rPr>
          <w:rFonts w:ascii="仿宋_GB2312" w:hAnsi="宋体" w:eastAsia="仿宋_GB2312" w:cs="宋体"/>
          <w:kern w:val="0"/>
          <w:sz w:val="28"/>
          <w:szCs w:val="28"/>
        </w:rPr>
      </w:pPr>
      <w:r>
        <w:rPr>
          <w:rFonts w:hint="eastAsia" w:ascii="黑体" w:hAnsi="宋体" w:eastAsia="黑体" w:cs="宋体"/>
          <w:kern w:val="0"/>
          <w:sz w:val="32"/>
          <w:szCs w:val="32"/>
        </w:rPr>
        <w:t xml:space="preserve">附件2 </w:t>
      </w:r>
    </w:p>
    <w:p>
      <w:pPr>
        <w:widowControl/>
        <w:tabs>
          <w:tab w:val="left" w:pos="720"/>
        </w:tabs>
        <w:spacing w:line="500" w:lineRule="exact"/>
        <w:ind w:left="540"/>
        <w:jc w:val="center"/>
        <w:rPr>
          <w:rFonts w:ascii="宋体" w:hAnsi="宋体" w:cs="宋体"/>
          <w:kern w:val="0"/>
          <w:sz w:val="32"/>
          <w:szCs w:val="32"/>
        </w:rPr>
      </w:pPr>
      <w:r>
        <w:rPr>
          <w:rFonts w:hint="eastAsia" w:ascii="宋体" w:hAnsi="宋体" w:cs="宋体"/>
          <w:kern w:val="0"/>
          <w:sz w:val="32"/>
          <w:szCs w:val="32"/>
        </w:rPr>
        <w:t>检验项目及要求</w:t>
      </w:r>
    </w:p>
    <w:p>
      <w:pPr>
        <w:widowControl/>
        <w:tabs>
          <w:tab w:val="left" w:pos="720"/>
        </w:tabs>
        <w:snapToGrid w:val="0"/>
        <w:spacing w:line="500" w:lineRule="exact"/>
        <w:jc w:val="left"/>
        <w:rPr>
          <w:rFonts w:ascii="仿宋_GB2312" w:hAnsi="宋体" w:eastAsia="仿宋_GB2312" w:cs="宋体"/>
          <w:kern w:val="0"/>
          <w:sz w:val="28"/>
          <w:szCs w:val="28"/>
        </w:rPr>
      </w:pPr>
    </w:p>
    <w:p>
      <w:pPr>
        <w:widowControl/>
        <w:snapToGrid w:val="0"/>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表1   消毒剂检验项目及要求</w:t>
      </w:r>
    </w:p>
    <w:tbl>
      <w:tblPr>
        <w:tblStyle w:val="6"/>
        <w:tblW w:w="161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427"/>
        <w:gridCol w:w="427"/>
        <w:gridCol w:w="427"/>
        <w:gridCol w:w="427"/>
        <w:gridCol w:w="427"/>
        <w:gridCol w:w="427"/>
        <w:gridCol w:w="427"/>
        <w:gridCol w:w="427"/>
        <w:gridCol w:w="427"/>
        <w:gridCol w:w="786"/>
        <w:gridCol w:w="786"/>
        <w:gridCol w:w="786"/>
        <w:gridCol w:w="762"/>
        <w:gridCol w:w="427"/>
        <w:gridCol w:w="6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15" w:type="dxa"/>
            <w:vMerge w:val="restart"/>
            <w:vAlign w:val="center"/>
          </w:tcPr>
          <w:p>
            <w:pPr>
              <w:widowControl/>
              <w:jc w:val="center"/>
              <w:rPr>
                <w:rFonts w:ascii="仿宋_GB2312" w:hAnsi="宋体" w:eastAsia="仿宋_GB2312" w:cs="宋体"/>
                <w:kern w:val="0"/>
                <w:szCs w:val="21"/>
              </w:rPr>
            </w:pPr>
            <w:r>
              <w:rPr>
                <w:rFonts w:ascii="仿宋_GB2312" w:hAnsi="宋体" w:eastAsia="仿宋_GB2312" w:cs="宋体"/>
                <w:kern w:val="0"/>
                <w:szCs w:val="21"/>
              </w:rPr>
              <w:br w:type="textWrapping"/>
            </w:r>
            <w:r>
              <w:rPr>
                <w:rFonts w:ascii="仿宋_GB2312" w:hAnsi="宋体" w:eastAsia="仿宋_GB2312" w:cs="宋体"/>
                <w:kern w:val="0"/>
                <w:szCs w:val="21"/>
              </w:rPr>
              <w:t>检测项目</w:t>
            </w:r>
          </w:p>
        </w:tc>
        <w:tc>
          <w:tcPr>
            <w:tcW w:w="7390" w:type="dxa"/>
            <w:gridSpan w:val="14"/>
            <w:tcBorders>
              <w:top w:val="single" w:color="auto" w:sz="4" w:space="0"/>
              <w:bottom w:val="nil"/>
            </w:tcBorders>
          </w:tcPr>
          <w:p>
            <w:pPr>
              <w:widowControl/>
              <w:spacing w:before="100" w:beforeAutospacing="1" w:after="100" w:afterAutospacing="1"/>
              <w:jc w:val="center"/>
              <w:rPr>
                <w:rFonts w:ascii="仿宋_GB2312" w:hAnsi="宋体" w:eastAsia="仿宋_GB2312" w:cs="宋体"/>
                <w:kern w:val="0"/>
                <w:szCs w:val="21"/>
              </w:rPr>
            </w:pPr>
            <w:r>
              <w:rPr>
                <w:rFonts w:ascii="仿宋_GB2312" w:hAnsi="宋体" w:eastAsia="仿宋_GB2312" w:cs="宋体"/>
                <w:kern w:val="0"/>
                <w:szCs w:val="21"/>
              </w:rPr>
              <w:t>消毒对象</w:t>
            </w:r>
          </w:p>
        </w:tc>
        <w:tc>
          <w:tcPr>
            <w:tcW w:w="6538" w:type="dxa"/>
            <w:tcBorders>
              <w:top w:val="nil"/>
              <w:bottom w:val="nil"/>
            </w:tcBorders>
          </w:tcPr>
          <w:p>
            <w:pPr>
              <w:widowControl/>
              <w:spacing w:before="100" w:beforeAutospacing="1" w:after="100" w:afterAutospacing="1"/>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vMerge w:val="continue"/>
          </w:tcPr>
          <w:p>
            <w:pPr>
              <w:widowControl/>
              <w:jc w:val="left"/>
              <w:rPr>
                <w:rFonts w:ascii="仿宋_GB2312" w:hAnsi="宋体" w:eastAsia="仿宋_GB2312" w:cs="宋体"/>
                <w:kern w:val="0"/>
                <w:szCs w:val="21"/>
              </w:rPr>
            </w:pPr>
          </w:p>
        </w:tc>
        <w:tc>
          <w:tcPr>
            <w:tcW w:w="427" w:type="dxa"/>
            <w:vMerge w:val="restart"/>
            <w:vAlign w:val="center"/>
          </w:tcPr>
          <w:p>
            <w:pPr>
              <w:widowControl/>
              <w:spacing w:before="100" w:beforeAutospacing="1" w:after="100" w:afterAutospacing="1" w:line="260" w:lineRule="exact"/>
              <w:ind w:left="103" w:hanging="103" w:hangingChars="49"/>
              <w:jc w:val="center"/>
              <w:rPr>
                <w:rFonts w:ascii="仿宋_GB2312" w:hAnsi="宋体" w:eastAsia="仿宋_GB2312" w:cs="宋体"/>
                <w:kern w:val="0"/>
                <w:szCs w:val="21"/>
              </w:rPr>
            </w:pPr>
            <w:r>
              <w:rPr>
                <w:rFonts w:ascii="仿宋_GB2312" w:hAnsi="宋体" w:eastAsia="仿宋_GB2312" w:cs="宋体"/>
                <w:kern w:val="0"/>
                <w:szCs w:val="21"/>
              </w:rPr>
              <w:t>皮</w:t>
            </w:r>
          </w:p>
          <w:p>
            <w:pPr>
              <w:widowControl/>
              <w:spacing w:before="100" w:beforeAutospacing="1" w:after="100" w:afterAutospacing="1" w:line="260" w:lineRule="exact"/>
              <w:ind w:left="103" w:hanging="103" w:hangingChars="49"/>
              <w:jc w:val="center"/>
              <w:rPr>
                <w:rFonts w:ascii="仿宋_GB2312" w:hAnsi="宋体" w:eastAsia="仿宋_GB2312" w:cs="宋体"/>
                <w:kern w:val="0"/>
                <w:szCs w:val="21"/>
              </w:rPr>
            </w:pPr>
            <w:r>
              <w:rPr>
                <w:rFonts w:ascii="仿宋_GB2312" w:hAnsi="宋体" w:eastAsia="仿宋_GB2312" w:cs="宋体"/>
                <w:kern w:val="0"/>
                <w:szCs w:val="21"/>
              </w:rPr>
              <w:t>肤</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粘</w:t>
            </w:r>
          </w:p>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膜</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手</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餐</w:t>
            </w:r>
            <w:r>
              <w:rPr>
                <w:rFonts w:ascii="仿宋_GB2312" w:hAnsi="宋体" w:eastAsia="仿宋_GB2312" w:cs="宋体"/>
                <w:kern w:val="0"/>
                <w:szCs w:val="21"/>
              </w:rPr>
              <w:br w:type="textWrapping"/>
            </w:r>
            <w:r>
              <w:rPr>
                <w:rFonts w:ascii="仿宋_GB2312" w:hAnsi="宋体" w:eastAsia="仿宋_GB2312" w:cs="宋体"/>
                <w:kern w:val="0"/>
                <w:szCs w:val="21"/>
              </w:rPr>
              <w:t xml:space="preserve">饮 </w:t>
            </w:r>
            <w:r>
              <w:rPr>
                <w:rFonts w:ascii="仿宋_GB2312" w:hAnsi="宋体" w:eastAsia="仿宋_GB2312" w:cs="宋体"/>
                <w:kern w:val="0"/>
                <w:szCs w:val="21"/>
              </w:rPr>
              <w:br w:type="textWrapping"/>
            </w:r>
            <w:r>
              <w:rPr>
                <w:rFonts w:ascii="仿宋_GB2312" w:hAnsi="宋体" w:eastAsia="仿宋_GB2312" w:cs="宋体"/>
                <w:kern w:val="0"/>
                <w:szCs w:val="21"/>
              </w:rPr>
              <w:t>具</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瓜果蔬菜</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生活饮用</w:t>
            </w:r>
            <w:r>
              <w:rPr>
                <w:rFonts w:ascii="仿宋_GB2312" w:hAnsi="宋体" w:eastAsia="仿宋_GB2312" w:cs="宋体"/>
                <w:kern w:val="0"/>
                <w:szCs w:val="21"/>
              </w:rPr>
              <w:t>水</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游泳池水</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hint="eastAsia" w:ascii="仿宋_GB2312" w:hAnsi="宋体" w:eastAsia="仿宋_GB2312" w:cs="宋体"/>
                <w:kern w:val="0"/>
                <w:szCs w:val="21"/>
              </w:rPr>
              <w:t>医院污水</w:t>
            </w:r>
          </w:p>
        </w:tc>
        <w:tc>
          <w:tcPr>
            <w:tcW w:w="427" w:type="dxa"/>
            <w:vMerge w:val="restart"/>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空</w:t>
            </w:r>
          </w:p>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气</w:t>
            </w:r>
          </w:p>
        </w:tc>
        <w:tc>
          <w:tcPr>
            <w:tcW w:w="2358" w:type="dxa"/>
            <w:gridSpan w:val="3"/>
            <w:tcBorders>
              <w:top w:val="single" w:color="auto" w:sz="4" w:space="0"/>
            </w:tcBorders>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医疗器械和用品</w:t>
            </w:r>
          </w:p>
        </w:tc>
        <w:tc>
          <w:tcPr>
            <w:tcW w:w="762" w:type="dxa"/>
            <w:vMerge w:val="restart"/>
            <w:tcBorders>
              <w:top w:val="single" w:color="auto" w:sz="4" w:space="0"/>
            </w:tcBorders>
          </w:tcPr>
          <w:p>
            <w:pPr>
              <w:widowControl/>
              <w:spacing w:before="100" w:beforeAutospacing="1" w:after="100" w:afterAutospacing="1" w:line="260" w:lineRule="exact"/>
              <w:rPr>
                <w:rFonts w:ascii="仿宋_GB2312" w:hAnsi="宋体" w:eastAsia="仿宋_GB2312" w:cs="宋体"/>
                <w:kern w:val="0"/>
                <w:szCs w:val="21"/>
              </w:rPr>
            </w:pPr>
            <w:r>
              <w:rPr>
                <w:rFonts w:ascii="仿宋_GB2312" w:hAnsi="宋体" w:eastAsia="仿宋_GB2312" w:cs="宋体"/>
                <w:kern w:val="0"/>
                <w:szCs w:val="21"/>
              </w:rPr>
              <w:t xml:space="preserve">一般物体表面和织物 </w:t>
            </w:r>
          </w:p>
        </w:tc>
        <w:tc>
          <w:tcPr>
            <w:tcW w:w="427" w:type="dxa"/>
            <w:vMerge w:val="restart"/>
            <w:tcBorders>
              <w:top w:val="single" w:color="auto" w:sz="4" w:space="0"/>
              <w:right w:val="single" w:color="auto" w:sz="4" w:space="0"/>
            </w:tcBorders>
          </w:tcPr>
          <w:p>
            <w:pPr>
              <w:widowControl/>
              <w:spacing w:before="100" w:beforeAutospacing="1" w:after="100" w:afterAutospacing="1" w:line="260" w:lineRule="exact"/>
              <w:rPr>
                <w:rFonts w:ascii="仿宋_GB2312" w:hAnsi="宋体" w:eastAsia="仿宋_GB2312" w:cs="宋体"/>
                <w:kern w:val="0"/>
                <w:szCs w:val="21"/>
              </w:rPr>
            </w:pPr>
            <w:r>
              <w:rPr>
                <w:rFonts w:ascii="仿宋_GB2312" w:hAnsi="宋体" w:eastAsia="仿宋_GB2312" w:cs="宋体"/>
                <w:kern w:val="0"/>
                <w:szCs w:val="21"/>
              </w:rPr>
              <w:t>其</w:t>
            </w:r>
          </w:p>
          <w:p>
            <w:pPr>
              <w:widowControl/>
              <w:spacing w:before="100" w:beforeAutospacing="1" w:after="100" w:afterAutospacing="1" w:line="260" w:lineRule="exact"/>
              <w:rPr>
                <w:rFonts w:ascii="仿宋_GB2312" w:hAnsi="宋体" w:eastAsia="仿宋_GB2312" w:cs="宋体"/>
                <w:kern w:val="0"/>
                <w:szCs w:val="21"/>
              </w:rPr>
            </w:pPr>
            <w:r>
              <w:rPr>
                <w:rFonts w:ascii="仿宋_GB2312" w:hAnsi="宋体" w:eastAsia="仿宋_GB2312" w:cs="宋体"/>
                <w:kern w:val="0"/>
                <w:szCs w:val="21"/>
              </w:rPr>
              <w:t>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vMerge w:val="continue"/>
          </w:tcPr>
          <w:p>
            <w:pPr>
              <w:widowControl/>
              <w:jc w:val="left"/>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427" w:type="dxa"/>
            <w:vMerge w:val="continue"/>
            <w:vAlign w:val="center"/>
          </w:tcPr>
          <w:p>
            <w:pPr>
              <w:widowControl/>
              <w:spacing w:line="260" w:lineRule="exact"/>
              <w:jc w:val="center"/>
              <w:rPr>
                <w:rFonts w:ascii="仿宋_GB2312" w:hAnsi="宋体" w:eastAsia="仿宋_GB2312" w:cs="宋体"/>
                <w:kern w:val="0"/>
                <w:szCs w:val="21"/>
              </w:rPr>
            </w:pPr>
          </w:p>
        </w:tc>
        <w:tc>
          <w:tcPr>
            <w:tcW w:w="786" w:type="dxa"/>
            <w:vAlign w:val="center"/>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灭菌与高水平消毒</w:t>
            </w:r>
          </w:p>
        </w:tc>
        <w:tc>
          <w:tcPr>
            <w:tcW w:w="786" w:type="dxa"/>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 xml:space="preserve">中水平消毒 </w:t>
            </w:r>
          </w:p>
        </w:tc>
        <w:tc>
          <w:tcPr>
            <w:tcW w:w="786" w:type="dxa"/>
          </w:tcPr>
          <w:p>
            <w:pPr>
              <w:widowControl/>
              <w:spacing w:before="100" w:beforeAutospacing="1" w:after="100" w:afterAutospacing="1" w:line="260" w:lineRule="exact"/>
              <w:jc w:val="center"/>
              <w:rPr>
                <w:rFonts w:ascii="仿宋_GB2312" w:hAnsi="宋体" w:eastAsia="仿宋_GB2312" w:cs="宋体"/>
                <w:kern w:val="0"/>
                <w:szCs w:val="21"/>
              </w:rPr>
            </w:pPr>
            <w:r>
              <w:rPr>
                <w:rFonts w:ascii="仿宋_GB2312" w:hAnsi="宋体" w:eastAsia="仿宋_GB2312" w:cs="宋体"/>
                <w:kern w:val="0"/>
                <w:szCs w:val="21"/>
              </w:rPr>
              <w:t xml:space="preserve">低水平消毒 </w:t>
            </w:r>
          </w:p>
        </w:tc>
        <w:tc>
          <w:tcPr>
            <w:tcW w:w="762" w:type="dxa"/>
            <w:vMerge w:val="continue"/>
            <w:tcBorders>
              <w:top w:val="nil"/>
            </w:tcBorders>
          </w:tcPr>
          <w:p>
            <w:pPr>
              <w:widowControl/>
              <w:spacing w:line="260" w:lineRule="exact"/>
              <w:jc w:val="left"/>
              <w:rPr>
                <w:rFonts w:ascii="仿宋_GB2312" w:hAnsi="宋体" w:eastAsia="仿宋_GB2312" w:cs="宋体"/>
                <w:kern w:val="0"/>
                <w:szCs w:val="21"/>
              </w:rPr>
            </w:pPr>
          </w:p>
        </w:tc>
        <w:tc>
          <w:tcPr>
            <w:tcW w:w="427" w:type="dxa"/>
            <w:vMerge w:val="continue"/>
            <w:tcBorders>
              <w:top w:val="nil"/>
              <w:right w:val="single" w:color="auto" w:sz="4" w:space="0"/>
            </w:tcBorders>
          </w:tcPr>
          <w:p>
            <w:pPr>
              <w:widowControl/>
              <w:spacing w:line="260" w:lineRule="exact"/>
              <w:jc w:val="left"/>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外观</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有效成分含量测定</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pH值测定</w:t>
            </w:r>
            <w:r>
              <w:rPr>
                <w:rFonts w:hint="eastAsia" w:ascii="仿宋_GB2312" w:hAnsi="宋体" w:eastAsia="仿宋_GB2312" w:cs="宋体"/>
                <w:kern w:val="0"/>
                <w:szCs w:val="21"/>
                <w:vertAlign w:val="superscript"/>
              </w:rPr>
              <w:t>①</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稳定性试验</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连续使用稳定性试验</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62"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Arial" w:eastAsia="仿宋_GB2312" w:cs="Arial"/>
                <w:kern w:val="0"/>
                <w:szCs w:val="21"/>
              </w:rPr>
              <w:t>铅、砷、汞</w:t>
            </w:r>
            <w:r>
              <w:rPr>
                <w:rFonts w:ascii="仿宋_GB2312" w:hAnsi="宋体" w:eastAsia="仿宋_GB2312" w:cs="宋体"/>
                <w:kern w:val="0"/>
                <w:szCs w:val="21"/>
              </w:rPr>
              <w:t>的测定</w:t>
            </w:r>
            <w:r>
              <w:rPr>
                <w:rFonts w:hint="eastAsia" w:ascii="仿宋_GB2312" w:hAnsi="宋体" w:eastAsia="仿宋_GB2312" w:cs="宋体"/>
                <w:kern w:val="0"/>
                <w:szCs w:val="21"/>
                <w:vertAlign w:val="superscript"/>
              </w:rPr>
              <w:t>②</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62"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ascii="仿宋_GB2312" w:hAnsi="宋体" w:eastAsia="仿宋_GB2312" w:cs="宋体"/>
                <w:kern w:val="0"/>
                <w:szCs w:val="21"/>
              </w:rPr>
              <w:t xml:space="preserve">金属腐蚀性试验 </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实验室对微生物杀灭效果测定</w:t>
            </w:r>
            <w:r>
              <w:rPr>
                <w:rFonts w:hint="eastAsia" w:ascii="仿宋_GB2312" w:hAnsi="宋体" w:eastAsia="仿宋_GB2312" w:cs="宋体"/>
                <w:kern w:val="0"/>
                <w:szCs w:val="21"/>
                <w:vertAlign w:val="superscript"/>
              </w:rPr>
              <w:t>③④⑤</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ascii="仿宋_GB2312" w:hAnsi="宋体" w:eastAsia="仿宋_GB2312" w:cs="宋体"/>
                <w:kern w:val="0"/>
                <w:szCs w:val="21"/>
              </w:rPr>
              <w:t>模拟现场试验</w:t>
            </w:r>
            <w:r>
              <w:rPr>
                <w:rFonts w:hint="eastAsia" w:ascii="仿宋_GB2312" w:hAnsi="宋体" w:eastAsia="仿宋_GB2312" w:cs="宋体"/>
                <w:kern w:val="0"/>
                <w:szCs w:val="21"/>
              </w:rPr>
              <w:t>或</w:t>
            </w:r>
            <w:r>
              <w:rPr>
                <w:rFonts w:ascii="仿宋_GB2312" w:hAnsi="宋体" w:eastAsia="仿宋_GB2312" w:cs="宋体"/>
                <w:kern w:val="0"/>
                <w:szCs w:val="21"/>
              </w:rPr>
              <w:t>现场试验</w:t>
            </w:r>
            <w:r>
              <w:rPr>
                <w:rFonts w:hint="eastAsia" w:ascii="仿宋_GB2312" w:hAnsi="宋体" w:eastAsia="仿宋_GB2312" w:cs="宋体"/>
                <w:kern w:val="0"/>
                <w:szCs w:val="21"/>
                <w:vertAlign w:val="superscript"/>
              </w:rPr>
              <w:t>⑥</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毒理学安全性检测</w:t>
            </w:r>
            <w:r>
              <w:rPr>
                <w:rFonts w:hint="eastAsia" w:ascii="仿宋_GB2312" w:hAnsi="宋体" w:eastAsia="仿宋_GB2312" w:cs="宋体"/>
                <w:kern w:val="0"/>
                <w:szCs w:val="21"/>
                <w:vertAlign w:val="superscript"/>
              </w:rPr>
              <w:t>⑦</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86" w:type="dxa"/>
            <w:vAlign w:val="center"/>
          </w:tcPr>
          <w:p>
            <w:pPr>
              <w:jc w:val="center"/>
            </w:pPr>
            <w:r>
              <w:rPr>
                <w:rFonts w:hint="eastAsia" w:ascii="仿宋_GB2312" w:hAnsi="宋体" w:eastAsia="仿宋_GB2312" w:cs="宋体"/>
                <w:kern w:val="0"/>
                <w:sz w:val="18"/>
                <w:szCs w:val="18"/>
              </w:rPr>
              <w:t>＋</w:t>
            </w:r>
          </w:p>
        </w:tc>
        <w:tc>
          <w:tcPr>
            <w:tcW w:w="762" w:type="dxa"/>
            <w:vAlign w:val="center"/>
          </w:tcPr>
          <w:p>
            <w:pPr>
              <w:jc w:val="center"/>
            </w:pPr>
            <w:r>
              <w:rPr>
                <w:rFonts w:hint="eastAsia" w:ascii="仿宋_GB2312" w:hAnsi="宋体" w:eastAsia="仿宋_GB2312" w:cs="宋体"/>
                <w:kern w:val="0"/>
                <w:sz w:val="18"/>
                <w:szCs w:val="18"/>
              </w:rPr>
              <w:t>＋</w:t>
            </w:r>
          </w:p>
        </w:tc>
        <w:tc>
          <w:tcPr>
            <w:tcW w:w="427"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6538" w:type="dxa"/>
        </w:trPr>
        <w:tc>
          <w:tcPr>
            <w:tcW w:w="2215" w:type="dxa"/>
          </w:tcPr>
          <w:p>
            <w:pPr>
              <w:widowControl/>
              <w:spacing w:before="100" w:beforeAutospacing="1" w:after="100" w:afterAutospacing="1"/>
              <w:rPr>
                <w:rFonts w:ascii="仿宋_GB2312" w:hAnsi="宋体" w:eastAsia="仿宋_GB2312" w:cs="宋体"/>
                <w:color w:val="FF0000"/>
                <w:kern w:val="0"/>
                <w:szCs w:val="21"/>
              </w:rPr>
            </w:pPr>
            <w:r>
              <w:rPr>
                <w:rFonts w:ascii="仿宋_GB2312" w:hAnsi="宋体" w:eastAsia="仿宋_GB2312" w:cs="宋体"/>
                <w:kern w:val="0"/>
                <w:szCs w:val="21"/>
              </w:rPr>
              <w:t>总体性能试验</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86"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62"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7" w:type="dxa"/>
            <w:vAlign w:val="center"/>
          </w:tcPr>
          <w:p>
            <w:pPr>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r>
    </w:tbl>
    <w:p>
      <w:pPr>
        <w:widowControl/>
        <w:adjustRightInd w:val="0"/>
        <w:snapToGrid w:val="0"/>
        <w:spacing w:beforeLines="50"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注：“＋”为必须做项目，“－”为不做项目，“±”为选做项目。</w:t>
      </w:r>
    </w:p>
    <w:p>
      <w:pPr>
        <w:widowControl/>
        <w:adjustRightInd w:val="0"/>
        <w:snapToGrid w:val="0"/>
        <w:spacing w:beforeLines="50"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①戊二醛类消毒剂进行加pH调节剂前、后的pH值测定，如产品为固体应做最高使用浓度溶液。</w:t>
      </w:r>
    </w:p>
    <w:p>
      <w:pPr>
        <w:widowControl/>
        <w:adjustRightInd w:val="0"/>
        <w:snapToGrid w:val="0"/>
        <w:spacing w:beforeLines="50"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②餐饮具、瓜果蔬菜、生活饮用水仅做铅、砷</w:t>
      </w:r>
      <w:r>
        <w:rPr>
          <w:rFonts w:ascii="仿宋_GB2312" w:hAnsi="宋体" w:eastAsia="仿宋_GB2312" w:cs="宋体"/>
          <w:kern w:val="0"/>
          <w:sz w:val="18"/>
          <w:szCs w:val="18"/>
        </w:rPr>
        <w:t>。</w:t>
      </w:r>
    </w:p>
    <w:p>
      <w:pPr>
        <w:widowControl/>
        <w:adjustRightInd w:val="0"/>
        <w:snapToGrid w:val="0"/>
        <w:spacing w:beforeLines="50" w:line="240" w:lineRule="exact"/>
        <w:rPr>
          <w:rFonts w:ascii="仿宋_GB2312" w:hAnsi="宋体" w:eastAsia="仿宋_GB2312" w:cs="宋体"/>
          <w:kern w:val="0"/>
          <w:sz w:val="18"/>
          <w:szCs w:val="18"/>
        </w:rPr>
      </w:pPr>
      <w:r>
        <w:rPr>
          <w:rFonts w:hint="eastAsia" w:ascii="仿宋_GB2312" w:hAnsi="宋体" w:eastAsia="仿宋_GB2312" w:cs="宋体"/>
          <w:kern w:val="0"/>
          <w:sz w:val="18"/>
          <w:szCs w:val="18"/>
        </w:rPr>
        <w:t>③根据标签、说明书标注的杀灭微生物类别和使用范围进行相应的指示微生物试验。</w:t>
      </w:r>
    </w:p>
    <w:p>
      <w:pPr>
        <w:widowControl/>
        <w:adjustRightInd w:val="0"/>
        <w:snapToGrid w:val="0"/>
        <w:spacing w:beforeLines="50" w:line="240" w:lineRule="exact"/>
        <w:ind w:left="180" w:hanging="180" w:hangingChars="100"/>
        <w:rPr>
          <w:rFonts w:ascii="仿宋_GB2312" w:hAnsi="宋体" w:eastAsia="仿宋_GB2312" w:cs="宋体"/>
          <w:kern w:val="0"/>
          <w:sz w:val="18"/>
          <w:szCs w:val="18"/>
        </w:rPr>
      </w:pPr>
      <w:r>
        <w:rPr>
          <w:rFonts w:hint="eastAsia" w:ascii="仿宋_GB2312" w:hAnsi="宋体" w:eastAsia="仿宋_GB2312" w:cs="宋体"/>
          <w:kern w:val="0"/>
          <w:sz w:val="18"/>
          <w:szCs w:val="18"/>
        </w:rPr>
        <w:t>④乙醇消毒液、戊二醛类消毒剂、次氯酸钠类消毒剂、漂白粉和漂粉精类消毒剂使用范围中，用于一般物体表面和织物消毒的应做金黄色葡萄球菌定量杀菌试验；用于洁具表面消毒的应做白色念珠菌定量杀菌试验；用于生活饮用水、游泳池水、污水和瓜果蔬菜的应做大肠杆菌定量杀菌试验；用于餐饮具消毒的应做脊髓灰质炎病毒灭活试验；用于体液污染物品和排泄物等消毒的应做细菌芽孢定量杀菌试验；用于手、皮肤、黏膜消毒的应做白色念珠菌定量杀菌试验; 用于</w:t>
      </w:r>
      <w:r>
        <w:rPr>
          <w:rFonts w:ascii="仿宋_GB2312" w:hAnsi="宋体" w:eastAsia="仿宋_GB2312" w:cs="宋体"/>
          <w:kern w:val="0"/>
          <w:sz w:val="18"/>
          <w:szCs w:val="18"/>
        </w:rPr>
        <w:t>医疗器械</w:t>
      </w:r>
      <w:r>
        <w:rPr>
          <w:rFonts w:hint="eastAsia" w:ascii="仿宋_GB2312" w:hAnsi="宋体" w:eastAsia="仿宋_GB2312" w:cs="宋体"/>
          <w:kern w:val="0"/>
          <w:sz w:val="18"/>
          <w:szCs w:val="18"/>
        </w:rPr>
        <w:t>、</w:t>
      </w:r>
      <w:r>
        <w:rPr>
          <w:rFonts w:ascii="仿宋_GB2312" w:hAnsi="宋体" w:eastAsia="仿宋_GB2312" w:cs="宋体"/>
          <w:kern w:val="0"/>
          <w:sz w:val="18"/>
          <w:szCs w:val="18"/>
        </w:rPr>
        <w:t>用品</w:t>
      </w:r>
      <w:r>
        <w:rPr>
          <w:rFonts w:hint="eastAsia" w:ascii="仿宋_GB2312" w:hAnsi="宋体" w:eastAsia="仿宋_GB2312" w:cs="宋体"/>
          <w:kern w:val="0"/>
          <w:sz w:val="18"/>
          <w:szCs w:val="18"/>
        </w:rPr>
        <w:t>灭菌和高水平消毒的应做细菌芽孢定性杀菌试验，中水平消毒应做龟分枝杆菌定量杀菌试验；用于空气消毒的应做白色葡萄球菌定量杀菌实验；其他用途的按照标签、说明书杀灭微生物类别和使用范围确定一项抗力最强微生物的杀灭试验。</w:t>
      </w:r>
    </w:p>
    <w:p>
      <w:pPr>
        <w:widowControl/>
        <w:adjustRightInd w:val="0"/>
        <w:snapToGrid w:val="0"/>
        <w:spacing w:beforeLines="50" w:line="240" w:lineRule="exact"/>
        <w:ind w:right="-162" w:rightChars="-77"/>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⑤次氯酸钠类消毒剂以及清洁后消毒的消毒剂杀菌试验用有机干扰物质浓度为0.3%。</w:t>
      </w:r>
    </w:p>
    <w:p>
      <w:pPr>
        <w:widowControl/>
        <w:adjustRightInd w:val="0"/>
        <w:snapToGrid w:val="0"/>
        <w:spacing w:beforeLines="50" w:line="240" w:lineRule="exact"/>
        <w:ind w:left="180" w:hanging="180" w:hangingChars="100"/>
        <w:rPr>
          <w:rFonts w:ascii="仿宋_GB2312" w:hAnsi="宋体" w:eastAsia="仿宋_GB2312" w:cs="宋体"/>
          <w:kern w:val="0"/>
          <w:sz w:val="18"/>
          <w:szCs w:val="18"/>
        </w:rPr>
      </w:pPr>
      <w:r>
        <w:rPr>
          <w:rFonts w:hint="eastAsia" w:ascii="仿宋_GB2312" w:hAnsi="宋体" w:eastAsia="仿宋_GB2312" w:cs="宋体"/>
          <w:kern w:val="0"/>
          <w:sz w:val="18"/>
          <w:szCs w:val="18"/>
        </w:rPr>
        <w:t>⑥用于</w:t>
      </w:r>
      <w:r>
        <w:rPr>
          <w:rFonts w:ascii="仿宋_GB2312" w:hAnsi="宋体" w:eastAsia="仿宋_GB2312" w:cs="宋体"/>
          <w:kern w:val="0"/>
          <w:sz w:val="18"/>
          <w:szCs w:val="18"/>
        </w:rPr>
        <w:t>医疗器械</w:t>
      </w:r>
      <w:r>
        <w:rPr>
          <w:rFonts w:hint="eastAsia" w:ascii="仿宋_GB2312" w:hAnsi="宋体" w:eastAsia="仿宋_GB2312" w:cs="宋体"/>
          <w:kern w:val="0"/>
          <w:sz w:val="18"/>
          <w:szCs w:val="18"/>
        </w:rPr>
        <w:t>、</w:t>
      </w:r>
      <w:r>
        <w:rPr>
          <w:rFonts w:ascii="仿宋_GB2312" w:hAnsi="宋体" w:eastAsia="仿宋_GB2312" w:cs="宋体"/>
          <w:kern w:val="0"/>
          <w:sz w:val="18"/>
          <w:szCs w:val="18"/>
        </w:rPr>
        <w:t>用品</w:t>
      </w:r>
      <w:r>
        <w:rPr>
          <w:rFonts w:hint="eastAsia" w:ascii="仿宋_GB2312" w:hAnsi="宋体" w:eastAsia="仿宋_GB2312" w:cs="宋体"/>
          <w:kern w:val="0"/>
          <w:sz w:val="18"/>
          <w:szCs w:val="18"/>
        </w:rPr>
        <w:t>的</w:t>
      </w:r>
      <w:r>
        <w:rPr>
          <w:rFonts w:hint="eastAsia" w:ascii="仿宋_GB2312" w:hAnsi="宋体" w:eastAsia="仿宋_GB2312" w:cs="宋体"/>
          <w:bCs/>
          <w:kern w:val="0"/>
          <w:sz w:val="18"/>
          <w:szCs w:val="18"/>
        </w:rPr>
        <w:t>消毒剂(含无纺布为载体消毒剂)</w:t>
      </w:r>
      <w:r>
        <w:rPr>
          <w:rFonts w:hint="eastAsia" w:ascii="仿宋_GB2312" w:hAnsi="宋体" w:eastAsia="仿宋_GB2312" w:cs="宋体"/>
          <w:kern w:val="0"/>
          <w:sz w:val="18"/>
          <w:szCs w:val="18"/>
        </w:rPr>
        <w:t>及灭菌剂的模拟现场试验，</w:t>
      </w:r>
      <w:r>
        <w:rPr>
          <w:rFonts w:ascii="仿宋_GB2312" w:hAnsi="宋体" w:eastAsia="仿宋_GB2312" w:cs="宋体"/>
          <w:kern w:val="0"/>
          <w:sz w:val="18"/>
          <w:szCs w:val="18"/>
        </w:rPr>
        <w:t>所用指示微生物应</w:t>
      </w:r>
      <w:r>
        <w:rPr>
          <w:rFonts w:hint="eastAsia" w:ascii="仿宋_GB2312" w:hAnsi="宋体" w:eastAsia="仿宋_GB2312" w:cs="宋体"/>
          <w:kern w:val="0"/>
          <w:sz w:val="18"/>
          <w:szCs w:val="18"/>
        </w:rPr>
        <w:t>按适用范围</w:t>
      </w:r>
      <w:r>
        <w:rPr>
          <w:rFonts w:ascii="仿宋_GB2312" w:hAnsi="宋体" w:eastAsia="仿宋_GB2312" w:cs="宋体"/>
          <w:kern w:val="0"/>
          <w:sz w:val="18"/>
          <w:szCs w:val="18"/>
        </w:rPr>
        <w:t>选择</w:t>
      </w:r>
      <w:r>
        <w:rPr>
          <w:rFonts w:hint="eastAsia" w:ascii="仿宋_GB2312" w:hAnsi="宋体" w:eastAsia="仿宋_GB2312" w:cs="宋体"/>
          <w:kern w:val="0"/>
          <w:sz w:val="18"/>
          <w:szCs w:val="18"/>
        </w:rPr>
        <w:t>抗力最强</w:t>
      </w:r>
      <w:r>
        <w:rPr>
          <w:rFonts w:ascii="仿宋_GB2312" w:hAnsi="宋体" w:eastAsia="仿宋_GB2312" w:cs="宋体"/>
          <w:kern w:val="0"/>
          <w:sz w:val="18"/>
          <w:szCs w:val="18"/>
        </w:rPr>
        <w:t>指示微生物</w:t>
      </w:r>
      <w:r>
        <w:rPr>
          <w:rFonts w:hint="eastAsia" w:ascii="仿宋_GB2312" w:hAnsi="宋体" w:eastAsia="仿宋_GB2312" w:cs="宋体"/>
          <w:kern w:val="0"/>
          <w:sz w:val="18"/>
          <w:szCs w:val="18"/>
        </w:rPr>
        <w:t>进行试验</w:t>
      </w:r>
      <w:r>
        <w:rPr>
          <w:rFonts w:ascii="仿宋_GB2312" w:hAnsi="宋体" w:eastAsia="仿宋_GB2312" w:cs="宋体"/>
          <w:kern w:val="0"/>
          <w:sz w:val="18"/>
          <w:szCs w:val="18"/>
        </w:rPr>
        <w:t>。</w:t>
      </w:r>
    </w:p>
    <w:p>
      <w:pPr>
        <w:widowControl/>
        <w:adjustRightInd w:val="0"/>
        <w:snapToGrid w:val="0"/>
        <w:spacing w:beforeLines="50" w:line="240" w:lineRule="exact"/>
        <w:ind w:left="180" w:hanging="180" w:hangingChars="100"/>
        <w:rPr>
          <w:rFonts w:ascii="仿宋_GB2312" w:hAnsi="宋体" w:eastAsia="仿宋_GB2312" w:cs="宋体"/>
          <w:kern w:val="0"/>
          <w:sz w:val="18"/>
          <w:szCs w:val="18"/>
        </w:rPr>
      </w:pPr>
      <w:r>
        <w:rPr>
          <w:rFonts w:hint="eastAsia" w:ascii="仿宋_GB2312" w:hAnsi="宋体" w:eastAsia="仿宋_GB2312" w:cs="宋体"/>
          <w:kern w:val="0"/>
          <w:sz w:val="18"/>
          <w:szCs w:val="18"/>
        </w:rPr>
        <w:t>⑦除乙醇消毒液、戊二醛类消毒剂、次氯酸钠类消毒剂、漂白粉和漂粉精类消毒剂外均应做急性经口毒性或急性吸入毒性试验及一项致突变试验；标签、说明书中标明用于手、皮肤消毒的应做多次皮肤刺激性试验，标明用于粘膜或破损皮肤的消毒剂应做眼刺激性试验，标明用于阴道粘膜的消毒剂应做阴道粘膜刺激性试验。</w:t>
      </w:r>
    </w:p>
    <w:p>
      <w:pPr>
        <w:widowControl/>
        <w:adjustRightInd w:val="0"/>
        <w:snapToGrid w:val="0"/>
        <w:spacing w:beforeLines="50" w:line="240" w:lineRule="exact"/>
        <w:rPr>
          <w:rFonts w:ascii="仿宋_GB2312" w:hAnsi="宋体" w:eastAsia="仿宋_GB2312" w:cs="宋体"/>
          <w:b/>
          <w:kern w:val="0"/>
          <w:sz w:val="18"/>
          <w:szCs w:val="18"/>
        </w:rPr>
      </w:pPr>
    </w:p>
    <w:p>
      <w:pPr>
        <w:widowControl/>
        <w:adjustRightInd w:val="0"/>
        <w:snapToGrid w:val="0"/>
        <w:spacing w:line="240" w:lineRule="exact"/>
        <w:jc w:val="center"/>
        <w:rPr>
          <w:rFonts w:ascii="仿宋_GB2312" w:hAnsi="宋体" w:eastAsia="仿宋_GB2312" w:cs="宋体"/>
          <w:b/>
          <w:kern w:val="0"/>
          <w:sz w:val="32"/>
          <w:szCs w:val="32"/>
        </w:rPr>
      </w:pPr>
    </w:p>
    <w:p>
      <w:pPr>
        <w:widowControl/>
        <w:snapToGrid w:val="0"/>
        <w:spacing w:line="500" w:lineRule="exact"/>
        <w:jc w:val="center"/>
        <w:rPr>
          <w:rFonts w:ascii="仿宋_GB2312" w:hAnsi="宋体" w:eastAsia="仿宋_GB2312" w:cs="宋体"/>
          <w:b/>
          <w:kern w:val="0"/>
          <w:sz w:val="28"/>
          <w:szCs w:val="28"/>
        </w:rPr>
      </w:pPr>
    </w:p>
    <w:p>
      <w:pPr>
        <w:widowControl/>
        <w:snapToGrid w:val="0"/>
        <w:spacing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表2   消毒器械检验项目及要求</w:t>
      </w:r>
    </w:p>
    <w:p>
      <w:pPr>
        <w:widowControl/>
        <w:snapToGrid w:val="0"/>
        <w:spacing w:line="500" w:lineRule="exact"/>
        <w:jc w:val="center"/>
        <w:rPr>
          <w:rFonts w:ascii="仿宋_GB2312" w:hAnsi="宋体" w:eastAsia="仿宋_GB2312" w:cs="宋体"/>
          <w:kern w:val="0"/>
          <w:sz w:val="28"/>
          <w:szCs w:val="28"/>
        </w:rPr>
      </w:pPr>
    </w:p>
    <w:tbl>
      <w:tblPr>
        <w:tblStyle w:val="6"/>
        <w:tblW w:w="15371"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5"/>
        <w:gridCol w:w="455"/>
        <w:gridCol w:w="455"/>
        <w:gridCol w:w="455"/>
        <w:gridCol w:w="455"/>
        <w:gridCol w:w="455"/>
        <w:gridCol w:w="455"/>
        <w:gridCol w:w="455"/>
        <w:gridCol w:w="455"/>
        <w:gridCol w:w="455"/>
        <w:gridCol w:w="735"/>
        <w:gridCol w:w="420"/>
        <w:gridCol w:w="630"/>
        <w:gridCol w:w="800"/>
        <w:gridCol w:w="513"/>
        <w:gridCol w:w="5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0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检测项目</w:t>
            </w:r>
          </w:p>
        </w:tc>
        <w:tc>
          <w:tcPr>
            <w:tcW w:w="7193" w:type="dxa"/>
            <w:gridSpan w:val="14"/>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消毒对象</w:t>
            </w:r>
          </w:p>
        </w:tc>
        <w:tc>
          <w:tcPr>
            <w:tcW w:w="5973" w:type="dxa"/>
            <w:tcBorders>
              <w:top w:val="nil"/>
              <w:bottom w:val="nil"/>
            </w:tcBorders>
          </w:tcPr>
          <w:p>
            <w:pPr>
              <w:widowControl/>
              <w:spacing w:before="100" w:beforeAutospacing="1" w:after="100" w:afterAutospacing="1"/>
              <w:jc w:val="center"/>
              <w:rPr>
                <w:rFonts w:ascii="仿宋_GB2312" w:hAnsi="宋体" w:eastAsia="仿宋_GB2312"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Height w:val="464" w:hRule="atLeast"/>
        </w:trPr>
        <w:tc>
          <w:tcPr>
            <w:tcW w:w="2205" w:type="dxa"/>
            <w:vMerge w:val="continue"/>
          </w:tcPr>
          <w:p>
            <w:pPr>
              <w:widowControl/>
              <w:spacing w:before="100" w:beforeAutospacing="1" w:after="100" w:afterAutospacing="1"/>
              <w:jc w:val="center"/>
              <w:rPr>
                <w:rFonts w:ascii="仿宋_GB2312" w:hAnsi="宋体" w:eastAsia="仿宋_GB2312" w:cs="宋体"/>
                <w:kern w:val="0"/>
                <w:szCs w:val="21"/>
              </w:rPr>
            </w:pP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皮</w:t>
            </w:r>
          </w:p>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肤</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粘</w:t>
            </w:r>
          </w:p>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膜</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手</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 xml:space="preserve">餐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 xml:space="preserve">饮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具</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瓜果蔬菜</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 xml:space="preserve">生活饮用水 </w:t>
            </w:r>
            <w:r>
              <w:rPr>
                <w:rFonts w:hint="eastAsia" w:ascii="仿宋_GB2312" w:hAnsi="宋体" w:eastAsia="仿宋_GB2312" w:cs="宋体"/>
                <w:kern w:val="0"/>
                <w:szCs w:val="21"/>
              </w:rPr>
              <w:br w:type="textWrapping"/>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游泳池水</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医院污水</w:t>
            </w:r>
          </w:p>
        </w:tc>
        <w:tc>
          <w:tcPr>
            <w:tcW w:w="455" w:type="dxa"/>
            <w:vMerge w:val="restart"/>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空</w:t>
            </w:r>
          </w:p>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气</w:t>
            </w:r>
          </w:p>
        </w:tc>
        <w:tc>
          <w:tcPr>
            <w:tcW w:w="1785" w:type="dxa"/>
            <w:gridSpan w:val="3"/>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医疗器械和用品</w:t>
            </w:r>
          </w:p>
        </w:tc>
        <w:tc>
          <w:tcPr>
            <w:tcW w:w="800" w:type="dxa"/>
            <w:vMerge w:val="restart"/>
            <w:tcBorders>
              <w:top w:val="nil"/>
            </w:tcBorders>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 xml:space="preserve">一般 </w:t>
            </w:r>
            <w:r>
              <w:rPr>
                <w:rFonts w:hint="eastAsia" w:ascii="仿宋_GB2312" w:hAnsi="宋体" w:eastAsia="仿宋_GB2312" w:cs="宋体"/>
                <w:kern w:val="0"/>
                <w:szCs w:val="21"/>
              </w:rPr>
              <w:br w:type="textWrapping"/>
            </w:r>
            <w:r>
              <w:rPr>
                <w:rFonts w:hint="eastAsia" w:ascii="仿宋_GB2312" w:hAnsi="宋体" w:eastAsia="仿宋_GB2312" w:cs="宋体"/>
                <w:kern w:val="0"/>
                <w:szCs w:val="21"/>
              </w:rPr>
              <w:t>物体表面和织物</w:t>
            </w:r>
          </w:p>
        </w:tc>
        <w:tc>
          <w:tcPr>
            <w:tcW w:w="513" w:type="dxa"/>
            <w:vMerge w:val="restart"/>
            <w:tcBorders>
              <w:top w:val="nil"/>
            </w:tcBorders>
          </w:tcPr>
          <w:p>
            <w:pPr>
              <w:widowControl/>
              <w:spacing w:before="100" w:beforeAutospacing="1" w:after="100" w:afterAutospacing="1"/>
              <w:jc w:val="center"/>
              <w:rPr>
                <w:rFonts w:ascii="仿宋_GB2312" w:hAnsi="宋体" w:eastAsia="仿宋_GB2312" w:cs="宋体"/>
                <w:kern w:val="0"/>
                <w:szCs w:val="21"/>
              </w:rPr>
            </w:pPr>
          </w:p>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Height w:val="1618" w:hRule="atLeast"/>
        </w:trPr>
        <w:tc>
          <w:tcPr>
            <w:tcW w:w="2205" w:type="dxa"/>
            <w:vMerge w:val="continue"/>
          </w:tcPr>
          <w:p>
            <w:pPr>
              <w:widowControl/>
              <w:jc w:val="left"/>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455" w:type="dxa"/>
            <w:vMerge w:val="continue"/>
          </w:tcPr>
          <w:p>
            <w:pPr>
              <w:widowControl/>
              <w:jc w:val="center"/>
              <w:rPr>
                <w:rFonts w:ascii="仿宋_GB2312" w:hAnsi="Arial" w:eastAsia="仿宋_GB2312" w:cs="Arial"/>
                <w:kern w:val="0"/>
                <w:szCs w:val="21"/>
              </w:rPr>
            </w:pPr>
          </w:p>
        </w:tc>
        <w:tc>
          <w:tcPr>
            <w:tcW w:w="735" w:type="dxa"/>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灭菌与高水平消毒</w:t>
            </w:r>
          </w:p>
        </w:tc>
        <w:tc>
          <w:tcPr>
            <w:tcW w:w="420" w:type="dxa"/>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中水平消毒</w:t>
            </w:r>
          </w:p>
        </w:tc>
        <w:tc>
          <w:tcPr>
            <w:tcW w:w="630" w:type="dxa"/>
          </w:tcPr>
          <w:p>
            <w:pPr>
              <w:widowControl/>
              <w:spacing w:before="100" w:beforeAutospacing="1" w:after="100" w:afterAutospacing="1"/>
              <w:jc w:val="center"/>
              <w:rPr>
                <w:rFonts w:ascii="仿宋_GB2312" w:hAnsi="Arial" w:eastAsia="仿宋_GB2312" w:cs="Arial"/>
                <w:kern w:val="0"/>
                <w:szCs w:val="21"/>
              </w:rPr>
            </w:pPr>
            <w:r>
              <w:rPr>
                <w:rFonts w:hint="eastAsia" w:ascii="仿宋_GB2312" w:hAnsi="Arial" w:eastAsia="仿宋_GB2312" w:cs="Arial"/>
                <w:kern w:val="0"/>
                <w:szCs w:val="21"/>
              </w:rPr>
              <w:t>低水平消毒</w:t>
            </w:r>
          </w:p>
        </w:tc>
        <w:tc>
          <w:tcPr>
            <w:tcW w:w="800" w:type="dxa"/>
            <w:vMerge w:val="continue"/>
            <w:tcBorders>
              <w:top w:val="nil"/>
            </w:tcBorders>
          </w:tcPr>
          <w:p>
            <w:pPr>
              <w:widowControl/>
              <w:jc w:val="center"/>
              <w:rPr>
                <w:rFonts w:ascii="仿宋_GB2312" w:hAnsi="Arial" w:eastAsia="仿宋_GB2312" w:cs="Arial"/>
                <w:kern w:val="0"/>
                <w:szCs w:val="21"/>
              </w:rPr>
            </w:pPr>
          </w:p>
        </w:tc>
        <w:tc>
          <w:tcPr>
            <w:tcW w:w="513" w:type="dxa"/>
            <w:vMerge w:val="continue"/>
            <w:tcBorders>
              <w:top w:val="nil"/>
            </w:tcBorders>
          </w:tcPr>
          <w:p>
            <w:pPr>
              <w:widowControl/>
              <w:jc w:val="center"/>
              <w:rPr>
                <w:rFonts w:ascii="仿宋_GB2312" w:hAnsi="Arial" w:eastAsia="仿宋_GB2312"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widowControl/>
              <w:spacing w:before="100" w:beforeAutospacing="1" w:after="100" w:afterAutospacing="1"/>
              <w:jc w:val="left"/>
              <w:rPr>
                <w:rFonts w:ascii="仿宋_GB2312" w:hAnsi="Arial" w:eastAsia="仿宋_GB2312" w:cs="Arial"/>
                <w:kern w:val="0"/>
                <w:szCs w:val="21"/>
              </w:rPr>
            </w:pPr>
            <w:r>
              <w:rPr>
                <w:rFonts w:hint="eastAsia" w:ascii="仿宋_GB2312" w:hAnsi="Arial" w:eastAsia="仿宋_GB2312" w:cs="Arial"/>
                <w:kern w:val="0"/>
                <w:szCs w:val="21"/>
              </w:rPr>
              <w:t>主要杀菌因子强度测定(含变化曲线)</w:t>
            </w:r>
            <w:r>
              <w:rPr>
                <w:rFonts w:hint="eastAsia" w:ascii="仿宋_GB2312" w:hAnsi="Arial" w:eastAsia="仿宋_GB2312" w:cs="Arial"/>
                <w:kern w:val="0"/>
                <w:szCs w:val="21"/>
                <w:vertAlign w:val="superscript"/>
              </w:rPr>
              <w:t>①</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735" w:type="dxa"/>
            <w:vAlign w:val="center"/>
          </w:tcPr>
          <w:p>
            <w:pPr>
              <w:jc w:val="center"/>
            </w:pPr>
            <w:r>
              <w:rPr>
                <w:rFonts w:hint="eastAsia" w:ascii="仿宋_GB2312" w:hAnsi="宋体" w:eastAsia="仿宋_GB2312" w:cs="宋体"/>
                <w:kern w:val="0"/>
                <w:sz w:val="18"/>
                <w:szCs w:val="18"/>
              </w:rPr>
              <w:t>＋</w:t>
            </w:r>
          </w:p>
        </w:tc>
        <w:tc>
          <w:tcPr>
            <w:tcW w:w="420" w:type="dxa"/>
            <w:vAlign w:val="center"/>
          </w:tcPr>
          <w:p>
            <w:pPr>
              <w:jc w:val="center"/>
            </w:pPr>
            <w:r>
              <w:rPr>
                <w:rFonts w:hint="eastAsia" w:ascii="仿宋_GB2312" w:hAnsi="宋体" w:eastAsia="仿宋_GB2312" w:cs="宋体"/>
                <w:kern w:val="0"/>
                <w:sz w:val="18"/>
                <w:szCs w:val="18"/>
              </w:rPr>
              <w:t>＋</w:t>
            </w:r>
          </w:p>
        </w:tc>
        <w:tc>
          <w:tcPr>
            <w:tcW w:w="630" w:type="dxa"/>
            <w:vAlign w:val="center"/>
          </w:tcPr>
          <w:p>
            <w:pPr>
              <w:jc w:val="center"/>
            </w:pPr>
            <w:r>
              <w:rPr>
                <w:rFonts w:hint="eastAsia" w:ascii="仿宋_GB2312" w:hAnsi="宋体" w:eastAsia="仿宋_GB2312" w:cs="宋体"/>
                <w:kern w:val="0"/>
                <w:sz w:val="18"/>
                <w:szCs w:val="18"/>
              </w:rPr>
              <w:t>＋</w:t>
            </w:r>
          </w:p>
        </w:tc>
        <w:tc>
          <w:tcPr>
            <w:tcW w:w="800" w:type="dxa"/>
            <w:vAlign w:val="center"/>
          </w:tcPr>
          <w:p>
            <w:pPr>
              <w:jc w:val="cente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widowControl/>
              <w:spacing w:before="100" w:beforeAutospacing="1" w:after="100" w:afterAutospacing="1"/>
              <w:jc w:val="left"/>
              <w:rPr>
                <w:rFonts w:ascii="仿宋_GB2312" w:hAnsi="Arial" w:eastAsia="仿宋_GB2312" w:cs="Arial"/>
                <w:kern w:val="0"/>
                <w:szCs w:val="21"/>
              </w:rPr>
            </w:pPr>
            <w:r>
              <w:rPr>
                <w:rFonts w:hint="eastAsia" w:ascii="仿宋_GB2312" w:hAnsi="Arial" w:eastAsia="仿宋_GB2312" w:cs="Arial"/>
                <w:kern w:val="0"/>
                <w:szCs w:val="21"/>
              </w:rPr>
              <w:t xml:space="preserve">铅、砷、汞的测定(限产生化学杀微生物因子的器械) </w:t>
            </w:r>
            <w:r>
              <w:rPr>
                <w:rFonts w:hint="eastAsia" w:ascii="仿宋_GB2312" w:hAnsi="Arial" w:eastAsia="仿宋_GB2312" w:cs="Arial"/>
                <w:kern w:val="0"/>
                <w:szCs w:val="21"/>
                <w:vertAlign w:val="superscript"/>
              </w:rPr>
              <w:t>②</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widowControl/>
              <w:spacing w:before="100" w:beforeAutospacing="1" w:after="100" w:afterAutospacing="1"/>
              <w:jc w:val="left"/>
              <w:rPr>
                <w:rFonts w:ascii="仿宋_GB2312" w:hAnsi="Arial" w:eastAsia="仿宋_GB2312" w:cs="Arial"/>
                <w:kern w:val="0"/>
                <w:szCs w:val="21"/>
              </w:rPr>
            </w:pPr>
            <w:r>
              <w:rPr>
                <w:rFonts w:hint="eastAsia" w:ascii="仿宋_GB2312" w:hAnsi="Arial" w:eastAsia="仿宋_GB2312" w:cs="Arial"/>
                <w:kern w:val="0"/>
                <w:szCs w:val="21"/>
              </w:rPr>
              <w:t xml:space="preserve">金属腐蚀性试验(限产生化学杀微生物因子的器械) </w:t>
            </w:r>
            <w:r>
              <w:rPr>
                <w:rFonts w:hint="eastAsia" w:ascii="仿宋_GB2312" w:hAnsi="Arial" w:eastAsia="仿宋_GB2312" w:cs="Arial"/>
                <w:kern w:val="0"/>
                <w:szCs w:val="21"/>
                <w:vertAlign w:val="superscript"/>
              </w:rPr>
              <w:t>③</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Height w:val="483" w:hRule="atLeast"/>
        </w:trPr>
        <w:tc>
          <w:tcPr>
            <w:tcW w:w="2205" w:type="dxa"/>
          </w:tcPr>
          <w:p>
            <w:pPr>
              <w:widowControl/>
              <w:spacing w:before="100" w:beforeAutospacing="1" w:after="100" w:afterAutospacing="1"/>
              <w:jc w:val="left"/>
              <w:rPr>
                <w:rFonts w:ascii="仿宋_GB2312" w:hAnsi="Arial" w:eastAsia="仿宋_GB2312" w:cs="Arial"/>
                <w:kern w:val="0"/>
                <w:szCs w:val="21"/>
              </w:rPr>
            </w:pPr>
            <w:r>
              <w:rPr>
                <w:rFonts w:hint="eastAsia" w:ascii="仿宋_GB2312" w:hAnsi="Arial" w:eastAsia="仿宋_GB2312" w:cs="Arial"/>
                <w:kern w:val="0"/>
                <w:szCs w:val="21"/>
              </w:rPr>
              <w:t>实验室对微生物杀灭效果测定</w:t>
            </w:r>
            <w:r>
              <w:rPr>
                <w:rFonts w:hint="eastAsia" w:ascii="仿宋_GB2312" w:hAnsi="宋体" w:eastAsia="仿宋_GB2312" w:cs="宋体"/>
                <w:kern w:val="0"/>
                <w:szCs w:val="21"/>
                <w:vertAlign w:val="superscript"/>
              </w:rPr>
              <w:t>④</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widowControl/>
              <w:spacing w:before="100" w:beforeAutospacing="1" w:after="100" w:afterAutospacing="1"/>
              <w:jc w:val="left"/>
              <w:rPr>
                <w:rFonts w:ascii="仿宋_GB2312" w:hAnsi="Arial" w:eastAsia="仿宋_GB2312" w:cs="Arial"/>
                <w:kern w:val="0"/>
                <w:szCs w:val="21"/>
              </w:rPr>
            </w:pPr>
            <w:r>
              <w:rPr>
                <w:rFonts w:hint="eastAsia" w:ascii="仿宋_GB2312" w:hAnsi="Arial" w:eastAsia="仿宋_GB2312" w:cs="Arial"/>
                <w:kern w:val="0"/>
                <w:szCs w:val="21"/>
              </w:rPr>
              <w:t>模拟现场试验或现场试验</w:t>
            </w:r>
            <w:r>
              <w:rPr>
                <w:rFonts w:hint="eastAsia" w:ascii="仿宋_GB2312" w:hAnsi="宋体" w:eastAsia="仿宋_GB2312" w:cs="宋体"/>
                <w:kern w:val="0"/>
                <w:szCs w:val="21"/>
                <w:vertAlign w:val="superscript"/>
              </w:rPr>
              <w:t>⑤</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rPr>
                <w:rFonts w:ascii="仿宋_GB2312" w:hAnsi="Arial" w:eastAsia="仿宋_GB2312" w:cs="Arial"/>
                <w:kern w:val="0"/>
                <w:szCs w:val="21"/>
              </w:rPr>
            </w:pPr>
            <w:r>
              <w:rPr>
                <w:rFonts w:hint="eastAsia" w:ascii="仿宋_GB2312" w:hAnsi="Arial" w:eastAsia="仿宋_GB2312" w:cs="Arial"/>
                <w:kern w:val="0"/>
                <w:szCs w:val="21"/>
              </w:rPr>
              <w:t>毒理学安全性检测</w:t>
            </w:r>
            <w:r>
              <w:rPr>
                <w:rFonts w:hint="eastAsia" w:ascii="仿宋_GB2312" w:hAnsi="宋体" w:eastAsia="仿宋_GB2312" w:cs="宋体"/>
                <w:kern w:val="0"/>
                <w:szCs w:val="21"/>
                <w:vertAlign w:val="superscript"/>
              </w:rPr>
              <w:t>⑥</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5973" w:type="dxa"/>
        </w:trPr>
        <w:tc>
          <w:tcPr>
            <w:tcW w:w="2205" w:type="dxa"/>
          </w:tcPr>
          <w:p>
            <w:pPr>
              <w:widowControl/>
              <w:spacing w:before="100" w:beforeAutospacing="1" w:after="100" w:afterAutospacing="1"/>
              <w:jc w:val="left"/>
              <w:rPr>
                <w:rFonts w:ascii="仿宋_GB2312" w:hAnsi="Arial" w:eastAsia="仿宋_GB2312" w:cs="Arial"/>
                <w:kern w:val="0"/>
                <w:szCs w:val="21"/>
              </w:rPr>
            </w:pPr>
            <w:r>
              <w:rPr>
                <w:rFonts w:ascii="仿宋_GB2312" w:hAnsi="Arial" w:eastAsia="仿宋_GB2312" w:cs="Arial"/>
                <w:kern w:val="0"/>
                <w:szCs w:val="21"/>
              </w:rPr>
              <w:t>总体性能试验</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widowControl/>
              <w:spacing w:before="100" w:beforeAutospacing="1" w:after="100" w:afterAutospacing="1"/>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5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735"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42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63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51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bl>
    <w:p>
      <w:pPr>
        <w:widowControl/>
        <w:snapToGrid w:val="0"/>
        <w:spacing w:beforeLines="50" w:line="26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注：“＋”为必须做项目，“－”为不做项目，“±”为选做项目。</w:t>
      </w:r>
    </w:p>
    <w:p>
      <w:pPr>
        <w:widowControl/>
        <w:snapToGrid w:val="0"/>
        <w:spacing w:beforeLines="50" w:line="260" w:lineRule="exact"/>
        <w:ind w:left="361" w:leftChars="172"/>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w:t>
      </w:r>
      <w:r>
        <w:rPr>
          <w:rFonts w:ascii="仿宋_GB2312" w:hAnsi="宋体" w:eastAsia="仿宋_GB2312" w:cs="宋体"/>
          <w:kern w:val="0"/>
          <w:sz w:val="18"/>
          <w:szCs w:val="18"/>
        </w:rPr>
        <w:t>环氧乙烷消毒（灭菌）柜、等离子体</w:t>
      </w:r>
      <w:r>
        <w:rPr>
          <w:rFonts w:hint="eastAsia" w:ascii="仿宋_GB2312" w:hAnsi="宋体" w:eastAsia="仿宋_GB2312" w:cs="宋体"/>
          <w:kern w:val="0"/>
          <w:sz w:val="18"/>
          <w:szCs w:val="18"/>
        </w:rPr>
        <w:t>低温</w:t>
      </w:r>
      <w:r>
        <w:rPr>
          <w:rFonts w:ascii="仿宋_GB2312" w:hAnsi="宋体" w:eastAsia="仿宋_GB2312" w:cs="宋体"/>
          <w:kern w:val="0"/>
          <w:sz w:val="18"/>
          <w:szCs w:val="18"/>
        </w:rPr>
        <w:t>灭菌</w:t>
      </w:r>
      <w:r>
        <w:rPr>
          <w:rFonts w:hint="eastAsia" w:ascii="仿宋_GB2312" w:hAnsi="宋体" w:eastAsia="仿宋_GB2312" w:cs="宋体"/>
          <w:kern w:val="0"/>
          <w:sz w:val="18"/>
          <w:szCs w:val="18"/>
        </w:rPr>
        <w:t>装置</w:t>
      </w:r>
      <w:r>
        <w:rPr>
          <w:rFonts w:ascii="仿宋_GB2312" w:hAnsi="宋体" w:eastAsia="仿宋_GB2312" w:cs="宋体"/>
          <w:kern w:val="0"/>
          <w:sz w:val="18"/>
          <w:szCs w:val="18"/>
        </w:rPr>
        <w:t>、低温</w:t>
      </w:r>
      <w:r>
        <w:rPr>
          <w:rFonts w:hint="eastAsia" w:ascii="仿宋_GB2312" w:hAnsi="宋体" w:eastAsia="仿宋_GB2312" w:cs="宋体"/>
          <w:kern w:val="0"/>
          <w:sz w:val="18"/>
          <w:szCs w:val="18"/>
        </w:rPr>
        <w:t>蒸汽</w:t>
      </w:r>
      <w:r>
        <w:rPr>
          <w:rFonts w:ascii="仿宋_GB2312" w:hAnsi="宋体" w:eastAsia="仿宋_GB2312" w:cs="宋体"/>
          <w:kern w:val="0"/>
          <w:sz w:val="18"/>
          <w:szCs w:val="18"/>
        </w:rPr>
        <w:t>甲醛灭菌柜等可不测定，其他消毒器械均应进行该项试验。</w:t>
      </w:r>
      <w:r>
        <w:rPr>
          <w:rFonts w:hint="eastAsia" w:ascii="仿宋_GB2312" w:hAnsi="宋体" w:eastAsia="仿宋_GB2312" w:cs="宋体"/>
          <w:kern w:val="0"/>
          <w:sz w:val="18"/>
          <w:szCs w:val="18"/>
        </w:rPr>
        <w:t>②餐饮具、瓜果蔬菜、生活饮用水仅做铅、砷</w:t>
      </w:r>
      <w:r>
        <w:rPr>
          <w:rFonts w:ascii="仿宋_GB2312" w:hAnsi="宋体" w:eastAsia="仿宋_GB2312" w:cs="宋体"/>
          <w:kern w:val="0"/>
          <w:sz w:val="18"/>
          <w:szCs w:val="18"/>
        </w:rPr>
        <w:t>。</w:t>
      </w:r>
      <w:r>
        <w:rPr>
          <w:rFonts w:hint="eastAsia" w:ascii="仿宋_GB2312" w:hAnsi="宋体" w:eastAsia="仿宋_GB2312" w:cs="宋体"/>
          <w:kern w:val="0"/>
          <w:sz w:val="18"/>
          <w:szCs w:val="18"/>
        </w:rPr>
        <w:t>③铭牌、使用</w:t>
      </w:r>
      <w:r>
        <w:rPr>
          <w:rFonts w:ascii="仿宋_GB2312" w:hAnsi="宋体" w:eastAsia="仿宋_GB2312" w:cs="宋体"/>
          <w:kern w:val="0"/>
          <w:sz w:val="18"/>
          <w:szCs w:val="18"/>
        </w:rPr>
        <w:t>说明书中未注明不得用于金属物品消毒的产生化学因子的消毒器械，必须进行该项试验。</w:t>
      </w:r>
      <w:r>
        <w:rPr>
          <w:rFonts w:hint="eastAsia" w:ascii="仿宋_GB2312" w:hAnsi="宋体" w:eastAsia="仿宋_GB2312" w:cs="宋体"/>
          <w:kern w:val="0"/>
          <w:sz w:val="18"/>
          <w:szCs w:val="18"/>
        </w:rPr>
        <w:t>④</w:t>
      </w:r>
      <w:r>
        <w:rPr>
          <w:rFonts w:ascii="仿宋_GB2312" w:hAnsi="宋体" w:eastAsia="仿宋_GB2312" w:cs="宋体"/>
          <w:kern w:val="0"/>
          <w:sz w:val="18"/>
          <w:szCs w:val="18"/>
        </w:rPr>
        <w:t>紫外线</w:t>
      </w:r>
      <w:r>
        <w:rPr>
          <w:rFonts w:hint="eastAsia" w:ascii="仿宋_GB2312" w:hAnsi="宋体" w:eastAsia="仿宋_GB2312" w:cs="宋体"/>
          <w:kern w:val="0"/>
          <w:sz w:val="18"/>
          <w:szCs w:val="18"/>
        </w:rPr>
        <w:t>杀菌</w:t>
      </w:r>
      <w:r>
        <w:rPr>
          <w:rFonts w:ascii="仿宋_GB2312" w:hAnsi="宋体" w:eastAsia="仿宋_GB2312" w:cs="宋体"/>
          <w:kern w:val="0"/>
          <w:sz w:val="18"/>
          <w:szCs w:val="18"/>
        </w:rPr>
        <w:t>灯</w:t>
      </w:r>
      <w:r>
        <w:rPr>
          <w:rFonts w:hint="eastAsia" w:ascii="仿宋_GB2312" w:hAnsi="宋体" w:eastAsia="仿宋_GB2312" w:cs="宋体"/>
          <w:kern w:val="0"/>
          <w:sz w:val="18"/>
          <w:szCs w:val="18"/>
        </w:rPr>
        <w:t>不做杀菌试验，其他消毒器械</w:t>
      </w:r>
      <w:r>
        <w:rPr>
          <w:rFonts w:ascii="仿宋_GB2312" w:hAnsi="宋体" w:eastAsia="仿宋_GB2312" w:cs="宋体"/>
          <w:kern w:val="0"/>
          <w:sz w:val="18"/>
          <w:szCs w:val="18"/>
        </w:rPr>
        <w:t>根据使用说明书</w:t>
      </w:r>
      <w:r>
        <w:rPr>
          <w:rFonts w:hint="eastAsia" w:ascii="仿宋_GB2312" w:hAnsi="宋体" w:eastAsia="仿宋_GB2312" w:cs="宋体"/>
          <w:kern w:val="0"/>
          <w:sz w:val="18"/>
          <w:szCs w:val="18"/>
        </w:rPr>
        <w:t>标注的杀灭微生物类别和使用范围进行相应的指示微生物试验</w:t>
      </w:r>
      <w:r>
        <w:rPr>
          <w:rFonts w:ascii="仿宋_GB2312" w:hAnsi="宋体" w:eastAsia="仿宋_GB2312" w:cs="宋体"/>
          <w:kern w:val="0"/>
          <w:sz w:val="18"/>
          <w:szCs w:val="18"/>
        </w:rPr>
        <w:t>。</w:t>
      </w:r>
      <w:r>
        <w:rPr>
          <w:rFonts w:hint="eastAsia" w:ascii="仿宋_GB2312" w:hAnsi="宋体" w:eastAsia="仿宋_GB2312" w:cs="宋体"/>
          <w:kern w:val="0"/>
          <w:sz w:val="18"/>
          <w:szCs w:val="18"/>
        </w:rPr>
        <w:t>一星级食具消毒柜应对大肠杆菌杀灭效果进行测定，二星级食具消毒柜对脊髓灰质炎病毒杀灭效果进行测定；压力蒸汽灭菌器应对嗜热脂肪杆菌芽孢杀灭效果进行测定。⑤</w:t>
      </w:r>
      <w:r>
        <w:rPr>
          <w:rFonts w:ascii="仿宋_GB2312" w:hAnsi="宋体" w:eastAsia="仿宋_GB2312" w:cs="宋体"/>
          <w:kern w:val="0"/>
          <w:sz w:val="18"/>
          <w:szCs w:val="18"/>
        </w:rPr>
        <w:t>模拟现场试验所用指示微生物应</w:t>
      </w:r>
      <w:r>
        <w:rPr>
          <w:rFonts w:hint="eastAsia" w:ascii="仿宋_GB2312" w:hAnsi="宋体" w:eastAsia="仿宋_GB2312" w:cs="宋体"/>
          <w:kern w:val="0"/>
          <w:sz w:val="18"/>
          <w:szCs w:val="18"/>
        </w:rPr>
        <w:t>按使用范围</w:t>
      </w:r>
      <w:r>
        <w:rPr>
          <w:rFonts w:ascii="仿宋_GB2312" w:hAnsi="宋体" w:eastAsia="仿宋_GB2312" w:cs="宋体"/>
          <w:kern w:val="0"/>
          <w:sz w:val="18"/>
          <w:szCs w:val="18"/>
        </w:rPr>
        <w:t>选择</w:t>
      </w:r>
      <w:r>
        <w:rPr>
          <w:rFonts w:hint="eastAsia" w:ascii="仿宋_GB2312" w:hAnsi="宋体" w:eastAsia="仿宋_GB2312" w:cs="宋体"/>
          <w:kern w:val="0"/>
          <w:sz w:val="18"/>
          <w:szCs w:val="18"/>
        </w:rPr>
        <w:t>抗力最强</w:t>
      </w:r>
      <w:r>
        <w:rPr>
          <w:rFonts w:ascii="仿宋_GB2312" w:hAnsi="宋体" w:eastAsia="仿宋_GB2312" w:cs="宋体"/>
          <w:kern w:val="0"/>
          <w:sz w:val="18"/>
          <w:szCs w:val="18"/>
        </w:rPr>
        <w:t>指示微生物</w:t>
      </w:r>
      <w:r>
        <w:rPr>
          <w:rFonts w:hint="eastAsia" w:ascii="仿宋_GB2312" w:hAnsi="宋体" w:eastAsia="仿宋_GB2312" w:cs="宋体"/>
          <w:kern w:val="0"/>
          <w:sz w:val="18"/>
          <w:szCs w:val="18"/>
        </w:rPr>
        <w:t>进行试验</w:t>
      </w:r>
      <w:r>
        <w:rPr>
          <w:rFonts w:ascii="仿宋_GB2312" w:hAnsi="宋体" w:eastAsia="仿宋_GB2312" w:cs="宋体"/>
          <w:kern w:val="0"/>
          <w:sz w:val="18"/>
          <w:szCs w:val="18"/>
        </w:rPr>
        <w:t>。</w:t>
      </w:r>
      <w:r>
        <w:rPr>
          <w:rFonts w:hint="eastAsia" w:ascii="仿宋_GB2312" w:hAnsi="宋体" w:eastAsia="仿宋_GB2312" w:cs="宋体"/>
          <w:kern w:val="0"/>
          <w:sz w:val="18"/>
          <w:szCs w:val="18"/>
        </w:rPr>
        <w:t>⑥生成化学消毒液（除次氯酸钠类）的消毒器械应做急性经口毒性或急性吸入毒性试验及一项致突变试验；铭牌、使用说明书中标明用于手、皮肤消毒的应做多次皮肤刺激性试验，标明用于粘膜的应做眼刺激性试验。</w:t>
      </w:r>
    </w:p>
    <w:p>
      <w:pPr>
        <w:widowControl/>
        <w:snapToGrid w:val="0"/>
        <w:spacing w:beforeLines="50" w:line="260" w:lineRule="exact"/>
        <w:jc w:val="left"/>
        <w:rPr>
          <w:rFonts w:ascii="仿宋_GB2312" w:hAnsi="宋体" w:eastAsia="仿宋_GB2312" w:cs="宋体"/>
          <w:b/>
          <w:kern w:val="0"/>
          <w:sz w:val="24"/>
        </w:rPr>
      </w:pPr>
    </w:p>
    <w:p>
      <w:pPr>
        <w:widowControl/>
        <w:tabs>
          <w:tab w:val="left" w:pos="3900"/>
        </w:tabs>
        <w:snapToGrid w:val="0"/>
        <w:spacing w:beforeLines="50" w:line="500" w:lineRule="exact"/>
        <w:jc w:val="center"/>
        <w:rPr>
          <w:rFonts w:ascii="仿宋_GB2312" w:hAnsi="宋体" w:eastAsia="仿宋_GB2312" w:cs="宋体"/>
          <w:b/>
          <w:kern w:val="0"/>
          <w:sz w:val="28"/>
          <w:szCs w:val="28"/>
        </w:rPr>
      </w:pPr>
    </w:p>
    <w:p>
      <w:pPr>
        <w:widowControl/>
        <w:tabs>
          <w:tab w:val="left" w:pos="3900"/>
        </w:tabs>
        <w:snapToGrid w:val="0"/>
        <w:spacing w:beforeLines="50" w:line="500" w:lineRule="exact"/>
        <w:jc w:val="center"/>
        <w:rPr>
          <w:rFonts w:ascii="仿宋_GB2312" w:hAnsi="宋体" w:eastAsia="仿宋_GB2312" w:cs="宋体"/>
          <w:b/>
          <w:kern w:val="0"/>
          <w:sz w:val="28"/>
          <w:szCs w:val="28"/>
        </w:rPr>
      </w:pPr>
    </w:p>
    <w:p>
      <w:pPr>
        <w:widowControl/>
        <w:tabs>
          <w:tab w:val="left" w:pos="3900"/>
        </w:tabs>
        <w:snapToGrid w:val="0"/>
        <w:spacing w:beforeLines="50" w:line="500" w:lineRule="exact"/>
        <w:jc w:val="center"/>
        <w:rPr>
          <w:rFonts w:ascii="仿宋_GB2312" w:hAnsi="宋体" w:eastAsia="仿宋_GB2312" w:cs="宋体"/>
          <w:b/>
          <w:kern w:val="0"/>
          <w:sz w:val="28"/>
          <w:szCs w:val="28"/>
        </w:rPr>
      </w:pPr>
    </w:p>
    <w:p>
      <w:pPr>
        <w:widowControl/>
        <w:tabs>
          <w:tab w:val="left" w:pos="3900"/>
        </w:tabs>
        <w:snapToGrid w:val="0"/>
        <w:spacing w:beforeLines="50" w:line="500" w:lineRule="exact"/>
        <w:rPr>
          <w:rFonts w:ascii="仿宋_GB2312" w:hAnsi="宋体" w:eastAsia="仿宋_GB2312" w:cs="宋体"/>
          <w:kern w:val="0"/>
          <w:sz w:val="28"/>
          <w:szCs w:val="28"/>
        </w:rPr>
      </w:pPr>
    </w:p>
    <w:p>
      <w:pPr>
        <w:widowControl/>
        <w:tabs>
          <w:tab w:val="left" w:pos="3900"/>
        </w:tabs>
        <w:snapToGrid w:val="0"/>
        <w:spacing w:beforeLines="50" w:line="500" w:lineRule="exact"/>
        <w:rPr>
          <w:rFonts w:ascii="仿宋_GB2312" w:hAnsi="宋体" w:eastAsia="仿宋_GB2312" w:cs="宋体"/>
          <w:kern w:val="0"/>
          <w:sz w:val="28"/>
          <w:szCs w:val="28"/>
        </w:rPr>
      </w:pPr>
      <w:r>
        <w:rPr>
          <w:rFonts w:hint="eastAsia" w:ascii="仿宋_GB2312" w:hAnsi="宋体" w:eastAsia="仿宋_GB2312" w:cs="宋体"/>
          <w:kern w:val="0"/>
          <w:sz w:val="28"/>
          <w:szCs w:val="28"/>
        </w:rPr>
        <w:t>表3指示物检验项目</w:t>
      </w:r>
    </w:p>
    <w:p/>
    <w:tbl>
      <w:tblPr>
        <w:tblStyle w:val="6"/>
        <w:tblW w:w="8889" w:type="dxa"/>
        <w:jc w:val="center"/>
        <w:tblInd w:w="3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8"/>
        <w:gridCol w:w="1517"/>
        <w:gridCol w:w="1800"/>
        <w:gridCol w:w="133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检测项目</w:t>
            </w:r>
          </w:p>
        </w:tc>
        <w:tc>
          <w:tcPr>
            <w:tcW w:w="1517" w:type="dxa"/>
            <w:vAlign w:val="center"/>
          </w:tcPr>
          <w:p>
            <w:pPr>
              <w:widowControl/>
              <w:snapToGrid w:val="0"/>
              <w:spacing w:beforeLines="50" w:line="360" w:lineRule="exact"/>
              <w:jc w:val="center"/>
              <w:rPr>
                <w:rFonts w:ascii="仿宋_GB2312" w:hAnsi="Arial" w:eastAsia="仿宋_GB2312" w:cs="Arial"/>
                <w:kern w:val="0"/>
                <w:szCs w:val="21"/>
              </w:rPr>
            </w:pPr>
            <w:r>
              <w:rPr>
                <w:rFonts w:hint="eastAsia" w:ascii="仿宋_GB2312" w:hAnsi="宋体" w:eastAsia="仿宋_GB2312" w:cs="宋体"/>
                <w:kern w:val="0"/>
                <w:szCs w:val="21"/>
              </w:rPr>
              <w:t>紫外线灯辐射强度指示卡</w:t>
            </w:r>
          </w:p>
        </w:tc>
        <w:tc>
          <w:tcPr>
            <w:tcW w:w="1800" w:type="dxa"/>
            <w:vAlign w:val="center"/>
          </w:tcPr>
          <w:p>
            <w:pPr>
              <w:widowControl/>
              <w:snapToGrid w:val="0"/>
              <w:spacing w:beforeLines="50" w:line="500" w:lineRule="exact"/>
              <w:jc w:val="center"/>
              <w:rPr>
                <w:rFonts w:ascii="宋体" w:hAnsi="宋体" w:cs="宋体"/>
                <w:kern w:val="0"/>
                <w:szCs w:val="21"/>
              </w:rPr>
            </w:pPr>
            <w:r>
              <w:rPr>
                <w:rFonts w:hint="eastAsia" w:ascii="仿宋_GB2312" w:hAnsi="宋体" w:eastAsia="仿宋_GB2312" w:cs="宋体"/>
                <w:kern w:val="0"/>
                <w:szCs w:val="21"/>
              </w:rPr>
              <w:t>消毒剂浓度试纸</w:t>
            </w:r>
          </w:p>
        </w:tc>
        <w:tc>
          <w:tcPr>
            <w:tcW w:w="1333" w:type="dxa"/>
            <w:vAlign w:val="center"/>
          </w:tcPr>
          <w:p>
            <w:pPr>
              <w:widowControl/>
              <w:snapToGrid w:val="0"/>
              <w:spacing w:beforeLines="50" w:line="500" w:lineRule="exact"/>
              <w:jc w:val="center"/>
              <w:rPr>
                <w:rFonts w:ascii="宋体" w:hAnsi="宋体" w:cs="宋体"/>
                <w:kern w:val="0"/>
                <w:szCs w:val="21"/>
              </w:rPr>
            </w:pPr>
            <w:r>
              <w:rPr>
                <w:rFonts w:hint="eastAsia" w:ascii="仿宋_GB2312" w:hAnsi="宋体" w:eastAsia="仿宋_GB2312" w:cs="宋体"/>
                <w:kern w:val="0"/>
                <w:szCs w:val="21"/>
              </w:rPr>
              <w:t>生物指示物</w:t>
            </w:r>
          </w:p>
        </w:tc>
        <w:tc>
          <w:tcPr>
            <w:tcW w:w="1811" w:type="dxa"/>
            <w:vAlign w:val="center"/>
          </w:tcPr>
          <w:p>
            <w:pPr>
              <w:widowControl/>
              <w:snapToGrid w:val="0"/>
              <w:spacing w:beforeLines="50" w:line="500" w:lineRule="exact"/>
              <w:jc w:val="center"/>
              <w:rPr>
                <w:rFonts w:ascii="宋体" w:hAnsi="宋体" w:cs="宋体"/>
                <w:kern w:val="0"/>
                <w:szCs w:val="21"/>
              </w:rPr>
            </w:pPr>
            <w:r>
              <w:rPr>
                <w:rFonts w:hint="eastAsia" w:ascii="仿宋_GB2312" w:hAnsi="宋体" w:eastAsia="仿宋_GB2312" w:cs="宋体"/>
                <w:kern w:val="0"/>
                <w:szCs w:val="21"/>
              </w:rPr>
              <w:t>灭菌化学指示物</w:t>
            </w:r>
            <w:r>
              <w:rPr>
                <w:rFonts w:hint="eastAsia" w:ascii="仿宋_GB2312" w:hAnsi="宋体" w:eastAsia="仿宋_GB2312" w:cs="宋体"/>
                <w:kern w:val="0"/>
                <w:szCs w:val="21"/>
                <w:vertAlign w:val="superscript"/>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 w:hRule="atLeast"/>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生物指示物含菌量</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存活时间和杀灭时间</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D值</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测定相应消毒灭菌因子条件下的化学指示物颜色变化情况</w:t>
            </w:r>
            <w:r>
              <w:rPr>
                <w:rFonts w:hint="eastAsia" w:ascii="仿宋_GB2312" w:hAnsi="宋体" w:eastAsia="仿宋_GB2312" w:cs="宋体"/>
                <w:kern w:val="0"/>
                <w:szCs w:val="21"/>
                <w:vertAlign w:val="superscript"/>
              </w:rPr>
              <w:t>①</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影响因素试验</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测定相应消毒灭菌因子条件下指示微生物存活情况</w:t>
            </w:r>
            <w:r>
              <w:rPr>
                <w:rFonts w:hint="eastAsia" w:ascii="仿宋_GB2312" w:hAnsi="宋体" w:eastAsia="仿宋_GB2312" w:cs="宋体"/>
                <w:kern w:val="0"/>
                <w:szCs w:val="21"/>
                <w:vertAlign w:val="superscript"/>
              </w:rPr>
              <w:t>②</w:t>
            </w:r>
          </w:p>
        </w:tc>
        <w:tc>
          <w:tcPr>
            <w:tcW w:w="1517" w:type="dxa"/>
            <w:vAlign w:val="center"/>
          </w:tcPr>
          <w:p>
            <w:pPr>
              <w:jc w:val="center"/>
            </w:pPr>
            <w:r>
              <w:rPr>
                <w:rFonts w:hint="eastAsia" w:ascii="仿宋_GB2312" w:hAnsi="宋体" w:eastAsia="仿宋_GB2312" w:cs="宋体"/>
                <w:kern w:val="0"/>
                <w:sz w:val="18"/>
                <w:szCs w:val="18"/>
              </w:rPr>
              <w:t>－</w:t>
            </w:r>
          </w:p>
        </w:tc>
        <w:tc>
          <w:tcPr>
            <w:tcW w:w="1800" w:type="dxa"/>
            <w:vAlign w:val="center"/>
          </w:tcPr>
          <w:p>
            <w:pPr>
              <w:jc w:val="center"/>
            </w:pPr>
            <w:r>
              <w:rPr>
                <w:rFonts w:hint="eastAsia" w:ascii="仿宋_GB2312" w:hAnsi="宋体" w:eastAsia="仿宋_GB2312" w:cs="宋体"/>
                <w:kern w:val="0"/>
                <w:sz w:val="18"/>
                <w:szCs w:val="18"/>
              </w:rPr>
              <w:t>－</w:t>
            </w:r>
          </w:p>
        </w:tc>
        <w:tc>
          <w:tcPr>
            <w:tcW w:w="1333" w:type="dxa"/>
            <w:vAlign w:val="center"/>
          </w:tcPr>
          <w:p>
            <w:pPr>
              <w:jc w:val="center"/>
            </w:pPr>
            <w:r>
              <w:rPr>
                <w:rFonts w:hint="eastAsia" w:ascii="仿宋_GB2312" w:hAnsi="宋体" w:eastAsia="仿宋_GB2312" w:cs="宋体"/>
                <w:kern w:val="0"/>
                <w:sz w:val="18"/>
                <w:szCs w:val="18"/>
              </w:rPr>
              <w:t>－</w:t>
            </w:r>
          </w:p>
        </w:tc>
        <w:tc>
          <w:tcPr>
            <w:tcW w:w="1811" w:type="dxa"/>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紫外线强度比较测定</w:t>
            </w:r>
          </w:p>
        </w:tc>
        <w:tc>
          <w:tcPr>
            <w:tcW w:w="151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消毒剂浓度比较测定</w:t>
            </w:r>
          </w:p>
        </w:tc>
        <w:tc>
          <w:tcPr>
            <w:tcW w:w="151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1" w:hRule="atLeast"/>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稳定性试验</w:t>
            </w:r>
          </w:p>
        </w:tc>
        <w:tc>
          <w:tcPr>
            <w:tcW w:w="151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333"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9" w:hRule="atLeast"/>
          <w:jc w:val="center"/>
        </w:trPr>
        <w:tc>
          <w:tcPr>
            <w:tcW w:w="2428" w:type="dxa"/>
          </w:tcPr>
          <w:p>
            <w:pPr>
              <w:widowControl/>
              <w:spacing w:before="100" w:beforeAutospacing="1" w:after="100" w:afterAutospacing="1" w:line="360" w:lineRule="exact"/>
              <w:rPr>
                <w:rFonts w:ascii="仿宋_GB2312" w:hAnsi="宋体" w:eastAsia="仿宋_GB2312" w:cs="宋体"/>
                <w:kern w:val="0"/>
                <w:szCs w:val="21"/>
              </w:rPr>
            </w:pPr>
            <w:r>
              <w:rPr>
                <w:rFonts w:hint="eastAsia" w:ascii="仿宋_GB2312" w:hAnsi="宋体" w:eastAsia="仿宋_GB2312" w:cs="宋体"/>
                <w:kern w:val="0"/>
                <w:szCs w:val="21"/>
              </w:rPr>
              <w:t>卫生标准规定的其他指标测定</w:t>
            </w:r>
          </w:p>
        </w:tc>
        <w:tc>
          <w:tcPr>
            <w:tcW w:w="1517"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00" w:type="dxa"/>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333" w:type="dxa"/>
            <w:vAlign w:val="center"/>
          </w:tcPr>
          <w:p>
            <w:pPr>
              <w:spacing w:line="3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1811" w:type="dxa"/>
            <w:vAlign w:val="center"/>
          </w:tcPr>
          <w:p>
            <w:pPr>
              <w:spacing w:line="36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bl>
    <w:p>
      <w:pPr>
        <w:widowControl/>
        <w:snapToGrid w:val="0"/>
        <w:spacing w:beforeLines="50"/>
        <w:jc w:val="left"/>
        <w:rPr>
          <w:rFonts w:ascii="仿宋_GB2312" w:hAnsi="宋体" w:eastAsia="仿宋_GB2312" w:cs="宋体"/>
          <w:kern w:val="0"/>
          <w:szCs w:val="21"/>
        </w:rPr>
      </w:pPr>
      <w:r>
        <w:rPr>
          <w:rFonts w:hint="eastAsia" w:ascii="仿宋_GB2312" w:hAnsi="宋体" w:eastAsia="仿宋_GB2312" w:cs="宋体"/>
          <w:kern w:val="0"/>
          <w:sz w:val="18"/>
          <w:szCs w:val="18"/>
        </w:rPr>
        <w:t>注：“＋”为必须做项目，“－”为不做项目，“±”为选做项目。</w:t>
      </w:r>
    </w:p>
    <w:p>
      <w:pPr>
        <w:widowControl/>
        <w:snapToGrid w:val="0"/>
        <w:spacing w:beforeLines="50"/>
        <w:ind w:left="27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包括成功试验和一项失败试验。②湿热、过氧化氢低温等离子体、低温蒸汽甲醛灭菌应当选择嗜热脂肪杆菌芽孢，其他消毒灭菌因子应当选择枯草杆菌黑色变种芽孢。③包括灭菌效果化学指示物和灭菌过程化学指示物。</w:t>
      </w:r>
    </w:p>
    <w:p>
      <w:pPr>
        <w:rPr>
          <w:rFonts w:ascii="仿宋_GB2312" w:hAnsi="宋体" w:eastAsia="仿宋_GB2312" w:cs="宋体"/>
          <w:kern w:val="0"/>
          <w:sz w:val="18"/>
          <w:szCs w:val="18"/>
        </w:rPr>
      </w:pPr>
    </w:p>
    <w:p>
      <w:pPr>
        <w:ind w:left="360"/>
        <w:rPr>
          <w:rFonts w:ascii="仿宋_GB2312" w:hAnsi="宋体" w:eastAsia="仿宋_GB2312" w:cs="宋体"/>
          <w:b/>
          <w:kern w:val="0"/>
          <w:sz w:val="18"/>
          <w:szCs w:val="18"/>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rPr>
          <w:rFonts w:ascii="仿宋_GB2312" w:hAnsi="宋体" w:eastAsia="仿宋_GB2312" w:cs="宋体"/>
          <w:b/>
          <w:bCs/>
          <w:kern w:val="0"/>
          <w:sz w:val="32"/>
          <w:szCs w:val="32"/>
        </w:rPr>
      </w:pPr>
    </w:p>
    <w:p>
      <w:pPr>
        <w:widowControl/>
        <w:snapToGrid w:val="0"/>
        <w:spacing w:line="500" w:lineRule="exact"/>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28"/>
          <w:szCs w:val="28"/>
        </w:rPr>
      </w:pPr>
    </w:p>
    <w:p>
      <w:pPr>
        <w:widowControl/>
        <w:snapToGrid w:val="0"/>
        <w:spacing w:line="500" w:lineRule="exact"/>
        <w:jc w:val="center"/>
        <w:rPr>
          <w:rFonts w:ascii="仿宋_GB2312" w:hAnsi="宋体" w:eastAsia="仿宋_GB2312" w:cs="宋体"/>
          <w:b/>
          <w:bCs/>
          <w:kern w:val="0"/>
          <w:sz w:val="28"/>
          <w:szCs w:val="28"/>
        </w:rPr>
      </w:pPr>
    </w:p>
    <w:p>
      <w:pPr>
        <w:widowControl/>
        <w:snapToGrid w:val="0"/>
        <w:spacing w:line="500" w:lineRule="exact"/>
        <w:ind w:firstLine="560" w:firstLineChars="200"/>
        <w:rPr>
          <w:rFonts w:ascii="仿宋_GB2312" w:hAnsi="宋体" w:eastAsia="仿宋_GB2312" w:cs="宋体"/>
          <w:bCs/>
          <w:kern w:val="0"/>
          <w:sz w:val="28"/>
          <w:szCs w:val="28"/>
        </w:rPr>
      </w:pPr>
      <w:r>
        <w:rPr>
          <w:rFonts w:hint="eastAsia" w:ascii="仿宋_GB2312" w:hAnsi="宋体" w:eastAsia="仿宋_GB2312" w:cs="宋体"/>
          <w:bCs/>
          <w:kern w:val="0"/>
          <w:sz w:val="28"/>
          <w:szCs w:val="28"/>
        </w:rPr>
        <w:t>表4带有灭菌标识的灭菌物品包装物检验项目</w:t>
      </w:r>
    </w:p>
    <w:p>
      <w:pPr>
        <w:widowControl/>
        <w:snapToGrid w:val="0"/>
        <w:spacing w:line="500" w:lineRule="exact"/>
        <w:jc w:val="center"/>
        <w:rPr>
          <w:rFonts w:ascii="仿宋_GB2312" w:hAnsi="宋体" w:eastAsia="仿宋_GB2312" w:cs="宋体"/>
          <w:bCs/>
          <w:kern w:val="0"/>
          <w:sz w:val="28"/>
          <w:szCs w:val="28"/>
        </w:rPr>
      </w:pPr>
    </w:p>
    <w:tbl>
      <w:tblPr>
        <w:tblStyle w:val="6"/>
        <w:tblW w:w="8110" w:type="dxa"/>
        <w:jc w:val="center"/>
        <w:tblInd w:w="19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6"/>
        <w:gridCol w:w="1322"/>
        <w:gridCol w:w="1918"/>
        <w:gridCol w:w="1980"/>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74" w:hRule="atLeast"/>
          <w:jc w:val="center"/>
        </w:trPr>
        <w:tc>
          <w:tcPr>
            <w:tcW w:w="2876" w:type="dxa"/>
            <w:vMerge w:val="restart"/>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检测项目</w:t>
            </w:r>
          </w:p>
        </w:tc>
        <w:tc>
          <w:tcPr>
            <w:tcW w:w="5220" w:type="dxa"/>
            <w:gridSpan w:val="3"/>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包装材料材质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24" w:hRule="atLeast"/>
          <w:jc w:val="center"/>
        </w:trPr>
        <w:tc>
          <w:tcPr>
            <w:tcW w:w="2876" w:type="dxa"/>
            <w:vMerge w:val="continue"/>
            <w:tcBorders>
              <w:right w:val="single" w:color="auto" w:sz="4" w:space="0"/>
            </w:tcBorders>
          </w:tcPr>
          <w:p>
            <w:pPr>
              <w:widowControl/>
              <w:spacing w:before="100" w:beforeAutospacing="1" w:after="100" w:afterAutospacing="1"/>
              <w:jc w:val="center"/>
              <w:rPr>
                <w:rFonts w:ascii="仿宋_GB2312" w:hAnsi="宋体" w:eastAsia="仿宋_GB2312" w:cs="宋体"/>
                <w:kern w:val="0"/>
                <w:szCs w:val="21"/>
              </w:rPr>
            </w:pPr>
          </w:p>
        </w:tc>
        <w:tc>
          <w:tcPr>
            <w:tcW w:w="1322" w:type="dxa"/>
            <w:vMerge w:val="restart"/>
            <w:tcBorders>
              <w:left w:val="single" w:color="auto" w:sz="4" w:space="0"/>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纸质</w:t>
            </w:r>
          </w:p>
        </w:tc>
        <w:tc>
          <w:tcPr>
            <w:tcW w:w="3898" w:type="dxa"/>
            <w:gridSpan w:val="2"/>
            <w:tcBorders>
              <w:left w:val="single" w:color="auto" w:sz="4" w:space="0"/>
              <w:bottom w:val="nil"/>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非纸质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14" w:hRule="atLeast"/>
          <w:jc w:val="center"/>
        </w:trPr>
        <w:tc>
          <w:tcPr>
            <w:tcW w:w="2876" w:type="dxa"/>
            <w:vMerge w:val="continue"/>
            <w:tcBorders>
              <w:bottom w:val="single" w:color="auto" w:sz="4" w:space="0"/>
              <w:right w:val="single" w:color="auto" w:sz="4" w:space="0"/>
            </w:tcBorders>
          </w:tcPr>
          <w:p>
            <w:pPr>
              <w:widowControl/>
              <w:spacing w:before="100" w:beforeAutospacing="1" w:after="100" w:afterAutospacing="1"/>
              <w:jc w:val="center"/>
              <w:rPr>
                <w:rFonts w:ascii="仿宋_GB2312" w:hAnsi="宋体" w:eastAsia="仿宋_GB2312" w:cs="宋体"/>
                <w:kern w:val="0"/>
                <w:szCs w:val="21"/>
              </w:rPr>
            </w:pPr>
          </w:p>
        </w:tc>
        <w:tc>
          <w:tcPr>
            <w:tcW w:w="1322" w:type="dxa"/>
            <w:vMerge w:val="continue"/>
            <w:tcBorders>
              <w:left w:val="single" w:color="auto" w:sz="4" w:space="0"/>
              <w:bottom w:val="nil"/>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p>
        </w:tc>
        <w:tc>
          <w:tcPr>
            <w:tcW w:w="1918" w:type="dxa"/>
            <w:tcBorders>
              <w:left w:val="single" w:color="auto" w:sz="4" w:space="0"/>
              <w:bottom w:val="nil"/>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透气材料</w:t>
            </w:r>
          </w:p>
        </w:tc>
        <w:tc>
          <w:tcPr>
            <w:tcW w:w="1980" w:type="dxa"/>
            <w:tcBorders>
              <w:left w:val="single" w:color="auto" w:sz="4" w:space="0"/>
              <w:bottom w:val="nil"/>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Cs w:val="21"/>
              </w:rPr>
              <w:t>不透气材料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08"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包装材料一般检查</w:t>
            </w:r>
          </w:p>
        </w:tc>
        <w:tc>
          <w:tcPr>
            <w:tcW w:w="1322" w:type="dxa"/>
            <w:tcBorders>
              <w:right w:val="single" w:color="auto" w:sz="4" w:space="0"/>
            </w:tcBorders>
            <w:vAlign w:val="center"/>
          </w:tcPr>
          <w:p>
            <w:pPr>
              <w:widowControl/>
              <w:spacing w:before="100" w:beforeAutospacing="1" w:after="100" w:afterAutospacing="1" w:line="20" w:lineRule="atLeast"/>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14"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包装材料无菌有效期试验</w:t>
            </w:r>
          </w:p>
        </w:tc>
        <w:tc>
          <w:tcPr>
            <w:tcW w:w="1322" w:type="dxa"/>
            <w:tcBorders>
              <w:right w:val="single" w:color="auto" w:sz="4" w:space="0"/>
            </w:tcBorders>
            <w:vAlign w:val="center"/>
          </w:tcPr>
          <w:p>
            <w:pPr>
              <w:widowControl/>
              <w:spacing w:before="100" w:beforeAutospacing="1" w:after="100" w:afterAutospacing="1" w:line="20" w:lineRule="atLeast"/>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20"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包装材料质量测定</w:t>
            </w:r>
          </w:p>
        </w:tc>
        <w:tc>
          <w:tcPr>
            <w:tcW w:w="1322"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12"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灭菌因子穿透性能测定</w:t>
            </w:r>
          </w:p>
        </w:tc>
        <w:tc>
          <w:tcPr>
            <w:tcW w:w="1322"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361"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灭菌对包装标识的影响试验</w:t>
            </w:r>
          </w:p>
        </w:tc>
        <w:tc>
          <w:tcPr>
            <w:tcW w:w="1322"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324"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包装材料不透气性试验</w:t>
            </w:r>
          </w:p>
        </w:tc>
        <w:tc>
          <w:tcPr>
            <w:tcW w:w="1322"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28"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透气性材料微生物屏障试验</w:t>
            </w:r>
          </w:p>
        </w:tc>
        <w:tc>
          <w:tcPr>
            <w:tcW w:w="1322"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jc w:val="cente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4" w:type="dxa"/>
          <w:cantSplit/>
          <w:trHeight w:val="406" w:hRule="atLeast"/>
          <w:jc w:val="center"/>
        </w:trPr>
        <w:tc>
          <w:tcPr>
            <w:tcW w:w="2876" w:type="dxa"/>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微生物通透性试验</w:t>
            </w:r>
          </w:p>
        </w:tc>
        <w:tc>
          <w:tcPr>
            <w:tcW w:w="1322" w:type="dxa"/>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18" w:type="dxa"/>
            <w:tcBorders>
              <w:right w:val="single" w:color="auto" w:sz="4" w:space="0"/>
            </w:tcBorders>
            <w:vAlign w:val="center"/>
          </w:tcPr>
          <w:p>
            <w:pPr>
              <w:widowControl/>
              <w:spacing w:before="100" w:beforeAutospacing="1" w:after="100" w:afterAutospacing="1"/>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1980" w:type="dxa"/>
            <w:tcBorders>
              <w:right w:val="single" w:color="auto" w:sz="4" w:space="0"/>
            </w:tcBorders>
            <w:vAlign w:val="center"/>
          </w:tcPr>
          <w:p>
            <w:pPr>
              <w:jc w:val="center"/>
            </w:pP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6" w:hRule="atLeast"/>
          <w:jc w:val="center"/>
        </w:trPr>
        <w:tc>
          <w:tcPr>
            <w:tcW w:w="2876" w:type="dxa"/>
            <w:tcBorders>
              <w:bottom w:val="single" w:color="auto" w:sz="4" w:space="0"/>
            </w:tcBorders>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包装材料有效期试验</w:t>
            </w:r>
          </w:p>
        </w:tc>
        <w:tc>
          <w:tcPr>
            <w:tcW w:w="1322" w:type="dxa"/>
            <w:tcBorders>
              <w:bottom w:val="single" w:color="auto" w:sz="4" w:space="0"/>
            </w:tcBorders>
            <w:vAlign w:val="center"/>
          </w:tcPr>
          <w:p>
            <w:pPr>
              <w:widowControl/>
              <w:spacing w:before="100" w:beforeAutospacing="1" w:after="100" w:afterAutospacing="1"/>
              <w:jc w:val="center"/>
              <w:rPr>
                <w:rFonts w:ascii="宋体"/>
                <w:szCs w:val="21"/>
              </w:rPr>
            </w:pPr>
            <w:r>
              <w:rPr>
                <w:rFonts w:hint="eastAsia" w:ascii="仿宋_GB2312" w:hAnsi="宋体" w:eastAsia="仿宋_GB2312" w:cs="宋体"/>
                <w:kern w:val="0"/>
                <w:sz w:val="18"/>
                <w:szCs w:val="18"/>
              </w:rPr>
              <w:t>＋</w:t>
            </w:r>
          </w:p>
        </w:tc>
        <w:tc>
          <w:tcPr>
            <w:tcW w:w="1918" w:type="dxa"/>
            <w:tcBorders>
              <w:bottom w:val="single" w:color="auto" w:sz="4" w:space="0"/>
            </w:tcBorders>
            <w:vAlign w:val="center"/>
          </w:tcPr>
          <w:p>
            <w:pPr>
              <w:spacing w:line="20" w:lineRule="atLeast"/>
              <w:jc w:val="center"/>
              <w:rPr>
                <w:rFonts w:ascii="宋体"/>
                <w:szCs w:val="21"/>
              </w:rPr>
            </w:pPr>
            <w:r>
              <w:rPr>
                <w:rFonts w:hint="eastAsia" w:ascii="仿宋_GB2312" w:hAnsi="宋体" w:eastAsia="仿宋_GB2312" w:cs="宋体"/>
                <w:kern w:val="0"/>
                <w:sz w:val="18"/>
                <w:szCs w:val="18"/>
              </w:rPr>
              <w:t>＋</w:t>
            </w:r>
          </w:p>
        </w:tc>
        <w:tc>
          <w:tcPr>
            <w:tcW w:w="1994" w:type="dxa"/>
            <w:gridSpan w:val="2"/>
            <w:tcBorders>
              <w:bottom w:val="single" w:color="auto" w:sz="4" w:space="0"/>
            </w:tcBorders>
            <w:vAlign w:val="center"/>
          </w:tcPr>
          <w:p>
            <w:pPr>
              <w:spacing w:line="20" w:lineRule="atLeast"/>
              <w:jc w:val="center"/>
              <w:rPr>
                <w:rFonts w:ascii="宋体"/>
                <w:szCs w:val="21"/>
              </w:rPr>
            </w:pPr>
            <w:r>
              <w:rPr>
                <w:rFonts w:hint="eastAsia" w:ascii="仿宋_GB2312" w:hAnsi="宋体" w:eastAsia="仿宋_GB2312" w:cs="宋体"/>
                <w:kern w:val="0"/>
                <w:sz w:val="18"/>
                <w:szCs w:val="18"/>
              </w:rPr>
              <w:t>＋</w:t>
            </w:r>
          </w:p>
        </w:tc>
      </w:tr>
    </w:tbl>
    <w:p>
      <w:pPr>
        <w:widowControl/>
        <w:snapToGrid w:val="0"/>
        <w:spacing w:beforeLines="50"/>
        <w:ind w:firstLine="630" w:firstLineChars="3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注：“＋”为必须做项目，“－”为不做项目，“±”为选做项目。</w:t>
      </w:r>
    </w:p>
    <w:p>
      <w:pPr>
        <w:widowControl/>
        <w:snapToGrid w:val="0"/>
        <w:spacing w:beforeLines="50"/>
        <w:ind w:firstLine="271" w:firstLineChars="150"/>
        <w:jc w:val="left"/>
        <w:rPr>
          <w:rFonts w:ascii="仿宋_GB2312" w:hAnsi="宋体" w:eastAsia="仿宋_GB2312" w:cs="宋体"/>
          <w:b/>
          <w:kern w:val="0"/>
          <w:sz w:val="18"/>
          <w:szCs w:val="18"/>
        </w:rPr>
      </w:pPr>
    </w:p>
    <w:p>
      <w:pPr>
        <w:widowControl/>
        <w:snapToGrid w:val="0"/>
        <w:spacing w:line="500" w:lineRule="exact"/>
        <w:jc w:val="center"/>
        <w:rPr>
          <w:rFonts w:ascii="仿宋_GB2312" w:hAnsi="宋体" w:eastAsia="仿宋_GB2312" w:cs="宋体"/>
          <w:b/>
          <w:bCs/>
          <w:kern w:val="0"/>
          <w:szCs w:val="21"/>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snapToGrid w:val="0"/>
        <w:spacing w:line="500" w:lineRule="exact"/>
        <w:jc w:val="center"/>
        <w:rPr>
          <w:rFonts w:ascii="仿宋_GB2312" w:hAnsi="宋体" w:eastAsia="仿宋_GB2312" w:cs="宋体"/>
          <w:b/>
          <w:bCs/>
          <w:kern w:val="0"/>
          <w:sz w:val="32"/>
          <w:szCs w:val="32"/>
        </w:rPr>
      </w:pPr>
    </w:p>
    <w:p>
      <w:pPr>
        <w:widowControl/>
        <w:ind w:right="153" w:rightChars="73"/>
        <w:jc w:val="left"/>
        <w:rPr>
          <w:rFonts w:ascii="仿宋_GB2312" w:eastAsia="仿宋_GB2312"/>
          <w:b/>
          <w:bCs/>
          <w:sz w:val="32"/>
          <w:szCs w:val="32"/>
        </w:rPr>
        <w:sectPr>
          <w:footerReference r:id="rId3" w:type="default"/>
          <w:footerReference r:id="rId4" w:type="even"/>
          <w:pgSz w:w="12240" w:h="15840"/>
          <w:pgMar w:top="1361" w:right="2034" w:bottom="1021" w:left="1701" w:header="720" w:footer="720" w:gutter="0"/>
          <w:cols w:space="720" w:num="1"/>
        </w:sectPr>
      </w:pPr>
    </w:p>
    <w:p>
      <w:pPr>
        <w:widowControl/>
        <w:snapToGrid w:val="0"/>
        <w:spacing w:line="500" w:lineRule="exact"/>
        <w:rPr>
          <w:rFonts w:ascii="仿宋_GB2312" w:hAnsi="宋体" w:eastAsia="仿宋_GB2312" w:cs="宋体"/>
          <w:bCs/>
          <w:kern w:val="0"/>
          <w:sz w:val="28"/>
          <w:szCs w:val="28"/>
        </w:rPr>
      </w:pPr>
    </w:p>
    <w:p>
      <w:pPr>
        <w:widowControl/>
        <w:snapToGrid w:val="0"/>
        <w:spacing w:line="500" w:lineRule="exact"/>
        <w:rPr>
          <w:rFonts w:ascii="仿宋_GB2312" w:hAnsi="宋体" w:eastAsia="仿宋_GB2312" w:cs="宋体"/>
          <w:bCs/>
          <w:kern w:val="0"/>
          <w:sz w:val="28"/>
          <w:szCs w:val="28"/>
        </w:rPr>
      </w:pPr>
      <w:r>
        <w:rPr>
          <w:rFonts w:hint="eastAsia" w:ascii="仿宋_GB2312" w:hAnsi="宋体" w:eastAsia="仿宋_GB2312" w:cs="宋体"/>
          <w:bCs/>
          <w:kern w:val="0"/>
          <w:sz w:val="28"/>
          <w:szCs w:val="28"/>
        </w:rPr>
        <w:t>表5抗（抑）菌制剂检验项目及要求</w:t>
      </w:r>
    </w:p>
    <w:p>
      <w:pPr>
        <w:widowControl/>
        <w:snapToGrid w:val="0"/>
        <w:spacing w:line="500" w:lineRule="exact"/>
        <w:rPr>
          <w:rFonts w:ascii="仿宋_GB2312" w:hAnsi="宋体" w:eastAsia="仿宋_GB2312" w:cs="宋体"/>
          <w:bCs/>
          <w:kern w:val="0"/>
          <w:sz w:val="28"/>
          <w:szCs w:val="28"/>
        </w:rPr>
      </w:pPr>
    </w:p>
    <w:tbl>
      <w:tblPr>
        <w:tblStyle w:val="6"/>
        <w:tblW w:w="86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8"/>
        <w:gridCol w:w="2332"/>
        <w:gridCol w:w="3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检验项目</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抗菌制剂</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bCs/>
                <w:kern w:val="0"/>
                <w:szCs w:val="21"/>
              </w:rPr>
            </w:pPr>
            <w:r>
              <w:rPr>
                <w:rFonts w:hint="eastAsia" w:ascii="仿宋_GB2312" w:hAnsi="宋体" w:eastAsia="仿宋_GB2312" w:cs="宋体"/>
                <w:bCs/>
                <w:kern w:val="0"/>
                <w:szCs w:val="21"/>
              </w:rPr>
              <w:t>抑菌制剂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9"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宋体" w:eastAsia="仿宋_GB2312" w:cs="宋体"/>
                <w:bCs/>
                <w:kern w:val="0"/>
                <w:szCs w:val="21"/>
              </w:rPr>
            </w:pPr>
            <w:r>
              <w:rPr>
                <w:rFonts w:hint="eastAsia" w:ascii="仿宋_GB2312" w:hAnsi="宋体" w:eastAsia="仿宋_GB2312" w:cs="宋体"/>
                <w:kern w:val="0"/>
                <w:szCs w:val="21"/>
              </w:rPr>
              <w:t>有效成分含量测定</w:t>
            </w:r>
            <w:r>
              <w:rPr>
                <w:rFonts w:hint="eastAsia" w:ascii="仿宋_GB2312" w:hAnsi="宋体" w:eastAsia="仿宋_GB2312" w:cs="宋体"/>
                <w:kern w:val="0"/>
                <w:szCs w:val="21"/>
                <w:vertAlign w:val="superscript"/>
              </w:rPr>
              <w:t>①</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稳定性试验</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pH值测定</w:t>
            </w:r>
            <w:r>
              <w:rPr>
                <w:rFonts w:hint="eastAsia" w:ascii="仿宋_GB2312" w:hAnsi="宋体" w:eastAsia="仿宋_GB2312" w:cs="宋体"/>
                <w:kern w:val="0"/>
                <w:szCs w:val="21"/>
                <w:vertAlign w:val="superscript"/>
              </w:rPr>
              <w:t>②</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微生物指标：</w:t>
            </w:r>
          </w:p>
          <w:p>
            <w:pPr>
              <w:widowControl/>
              <w:spacing w:line="480" w:lineRule="exact"/>
              <w:ind w:firstLine="420" w:firstLineChars="200"/>
              <w:jc w:val="left"/>
              <w:rPr>
                <w:rFonts w:ascii="仿宋_GB2312" w:hAnsi="宋体" w:eastAsia="仿宋_GB2312" w:cs="宋体"/>
                <w:bCs/>
                <w:kern w:val="0"/>
                <w:szCs w:val="21"/>
              </w:rPr>
            </w:pPr>
            <w:r>
              <w:rPr>
                <w:rFonts w:hint="eastAsia" w:ascii="仿宋_GB2312" w:hAnsi="宋体" w:eastAsia="仿宋_GB2312" w:cs="宋体"/>
                <w:bCs/>
                <w:kern w:val="0"/>
                <w:szCs w:val="21"/>
              </w:rPr>
              <w:t>细菌菌落总数</w:t>
            </w:r>
          </w:p>
          <w:p>
            <w:pPr>
              <w:widowControl/>
              <w:spacing w:line="480" w:lineRule="exact"/>
              <w:ind w:firstLine="420" w:firstLineChars="200"/>
              <w:jc w:val="left"/>
              <w:rPr>
                <w:rFonts w:ascii="仿宋_GB2312" w:hAnsi="宋体" w:eastAsia="仿宋_GB2312" w:cs="宋体"/>
                <w:bCs/>
                <w:kern w:val="0"/>
                <w:szCs w:val="21"/>
              </w:rPr>
            </w:pPr>
            <w:r>
              <w:rPr>
                <w:rFonts w:hint="eastAsia" w:ascii="仿宋_GB2312" w:hAnsi="宋体" w:eastAsia="仿宋_GB2312" w:cs="宋体"/>
                <w:bCs/>
                <w:kern w:val="0"/>
                <w:szCs w:val="21"/>
              </w:rPr>
              <w:t>大肠菌群</w:t>
            </w:r>
          </w:p>
          <w:p>
            <w:pPr>
              <w:widowControl/>
              <w:spacing w:line="480" w:lineRule="exact"/>
              <w:ind w:firstLine="420" w:firstLineChars="200"/>
              <w:jc w:val="left"/>
              <w:rPr>
                <w:rFonts w:ascii="仿宋_GB2312" w:hAnsi="宋体" w:eastAsia="仿宋_GB2312" w:cs="宋体"/>
                <w:bCs/>
                <w:kern w:val="0"/>
                <w:szCs w:val="21"/>
              </w:rPr>
            </w:pPr>
            <w:r>
              <w:rPr>
                <w:rFonts w:hint="eastAsia" w:ascii="仿宋_GB2312" w:hAnsi="宋体" w:eastAsia="仿宋_GB2312" w:cs="宋体"/>
                <w:bCs/>
                <w:kern w:val="0"/>
                <w:szCs w:val="21"/>
              </w:rPr>
              <w:t>真菌菌落总数</w:t>
            </w:r>
          </w:p>
          <w:p>
            <w:pPr>
              <w:widowControl/>
              <w:spacing w:line="480" w:lineRule="exact"/>
              <w:ind w:firstLine="420" w:firstLineChars="200"/>
              <w:jc w:val="left"/>
              <w:rPr>
                <w:rFonts w:ascii="仿宋_GB2312" w:hAnsi="宋体" w:eastAsia="仿宋_GB2312" w:cs="宋体"/>
                <w:bCs/>
                <w:kern w:val="0"/>
                <w:szCs w:val="21"/>
              </w:rPr>
            </w:pPr>
            <w:r>
              <w:rPr>
                <w:rFonts w:hint="eastAsia" w:ascii="仿宋_GB2312" w:hAnsi="宋体" w:eastAsia="仿宋_GB2312" w:cs="宋体"/>
                <w:bCs/>
                <w:kern w:val="0"/>
                <w:szCs w:val="21"/>
              </w:rPr>
              <w:t>致病性化脓菌</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Cs w:val="21"/>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Cs w:val="21"/>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Cs w:val="21"/>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杀灭微生物指标：</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大肠杆菌杀灭试验</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金黄色葡萄球菌杀灭试验</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白色念珠菌杀灭试验</w:t>
            </w:r>
            <w:r>
              <w:rPr>
                <w:rFonts w:hint="eastAsia" w:ascii="仿宋_GB2312" w:hAnsi="宋体" w:eastAsia="仿宋_GB2312" w:cs="宋体"/>
                <w:bCs/>
                <w:kern w:val="0"/>
                <w:szCs w:val="21"/>
                <w:vertAlign w:val="superscript"/>
              </w:rPr>
              <w:t>③</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其他微生物杀灭试验</w:t>
            </w:r>
          </w:p>
          <w:p>
            <w:pPr>
              <w:widowControl/>
              <w:spacing w:line="480" w:lineRule="exact"/>
              <w:jc w:val="left"/>
              <w:rPr>
                <w:rFonts w:ascii="仿宋_GB2312" w:hAnsi="宋体" w:eastAsia="仿宋_GB2312" w:cs="宋体"/>
                <w:kern w:val="0"/>
                <w:szCs w:val="21"/>
                <w:vertAlign w:val="superscript"/>
              </w:rPr>
            </w:pPr>
            <w:r>
              <w:rPr>
                <w:rFonts w:hint="eastAsia" w:ascii="仿宋_GB2312" w:hAnsi="宋体" w:eastAsia="仿宋_GB2312" w:cs="宋体"/>
                <w:bCs/>
                <w:kern w:val="0"/>
                <w:szCs w:val="21"/>
              </w:rPr>
              <w:t>抑制微生物指标：</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大肠杆菌抑菌试验</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金黄色葡萄球菌抑菌试验</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白色念珠菌抑菌试验</w:t>
            </w:r>
            <w:r>
              <w:rPr>
                <w:rFonts w:hint="eastAsia" w:ascii="仿宋_GB2312" w:hAnsi="宋体" w:eastAsia="仿宋_GB2312" w:cs="宋体"/>
                <w:bCs/>
                <w:kern w:val="0"/>
                <w:szCs w:val="21"/>
                <w:vertAlign w:val="superscript"/>
              </w:rPr>
              <w:t>③</w:t>
            </w:r>
          </w:p>
          <w:p>
            <w:pPr>
              <w:widowControl/>
              <w:spacing w:line="480" w:lineRule="exact"/>
              <w:jc w:val="left"/>
              <w:rPr>
                <w:rFonts w:ascii="仿宋_GB2312" w:hAnsi="宋体" w:eastAsia="仿宋_GB2312" w:cs="宋体"/>
                <w:bCs/>
                <w:kern w:val="0"/>
                <w:szCs w:val="21"/>
              </w:rPr>
            </w:pPr>
            <w:r>
              <w:rPr>
                <w:rFonts w:hint="eastAsia" w:ascii="仿宋_GB2312" w:hAnsi="宋体" w:eastAsia="仿宋_GB2312" w:cs="宋体"/>
                <w:bCs/>
                <w:kern w:val="0"/>
                <w:szCs w:val="21"/>
              </w:rPr>
              <w:t>其他微生物抑制试验</w:t>
            </w:r>
            <w:r>
              <w:rPr>
                <w:rFonts w:hint="eastAsia" w:ascii="仿宋_GB2312" w:hAnsi="宋体" w:eastAsia="仿宋_GB2312" w:cs="宋体"/>
                <w:bCs/>
                <w:kern w:val="0"/>
                <w:szCs w:val="21"/>
                <w:vertAlign w:val="superscript"/>
              </w:rPr>
              <w:t>④</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Cs w:val="21"/>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bCs/>
                <w:kern w:val="0"/>
                <w:szCs w:val="21"/>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80" w:lineRule="exact"/>
              <w:jc w:val="center"/>
              <w:rPr>
                <w:rFonts w:ascii="仿宋_GB2312" w:hAnsi="宋体" w:eastAsia="仿宋_GB2312" w:cs="宋体"/>
                <w:kern w:val="0"/>
                <w:szCs w:val="21"/>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p>
            <w:pPr>
              <w:widowControl/>
              <w:spacing w:line="480" w:lineRule="exact"/>
              <w:jc w:val="center"/>
              <w:rPr>
                <w:rFonts w:ascii="仿宋_GB2312" w:hAnsi="宋体" w:eastAsia="仿宋_GB2312" w:cs="宋体"/>
                <w:bCs/>
                <w:kern w:val="0"/>
                <w:szCs w:val="21"/>
              </w:rPr>
            </w:pPr>
            <w:r>
              <w:rPr>
                <w:rFonts w:hint="eastAsia" w:ascii="仿宋_GB2312" w:hAnsi="宋体" w:eastAsia="仿宋_GB2312" w:cs="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trPr>
        <w:tc>
          <w:tcPr>
            <w:tcW w:w="32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before="100" w:beforeAutospacing="1" w:after="100" w:afterAutospacing="1"/>
              <w:rPr>
                <w:rFonts w:ascii="仿宋_GB2312" w:hAnsi="宋体" w:eastAsia="仿宋_GB2312" w:cs="宋体"/>
                <w:kern w:val="0"/>
                <w:szCs w:val="21"/>
              </w:rPr>
            </w:pPr>
            <w:r>
              <w:rPr>
                <w:rFonts w:hint="eastAsia" w:ascii="仿宋_GB2312" w:hAnsi="宋体" w:eastAsia="仿宋_GB2312" w:cs="宋体"/>
                <w:kern w:val="0"/>
                <w:szCs w:val="21"/>
              </w:rPr>
              <w:t>毒理学指标检测</w:t>
            </w:r>
            <w:r>
              <w:rPr>
                <w:rFonts w:hint="eastAsia" w:ascii="仿宋_GB2312" w:hAnsi="宋体" w:eastAsia="仿宋_GB2312" w:cs="宋体"/>
                <w:kern w:val="0"/>
                <w:szCs w:val="21"/>
                <w:vertAlign w:val="superscript"/>
              </w:rPr>
              <w:t>⑤</w:t>
            </w:r>
          </w:p>
        </w:tc>
        <w:tc>
          <w:tcPr>
            <w:tcW w:w="233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c>
          <w:tcPr>
            <w:tcW w:w="306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w:t>
            </w:r>
          </w:p>
        </w:tc>
      </w:tr>
    </w:tbl>
    <w:p>
      <w:pPr>
        <w:snapToGrid w:val="0"/>
        <w:spacing w:beforeLines="50" w:line="180" w:lineRule="exact"/>
        <w:ind w:firstLine="270" w:firstLineChars="150"/>
        <w:jc w:val="left"/>
        <w:rPr>
          <w:rFonts w:ascii="仿宋_GB2312" w:hAnsi="宋体" w:eastAsia="仿宋_GB2312" w:cs="宋体"/>
          <w:kern w:val="0"/>
          <w:sz w:val="18"/>
          <w:szCs w:val="18"/>
        </w:rPr>
      </w:pPr>
      <w:r>
        <w:rPr>
          <w:rFonts w:hint="eastAsia" w:ascii="仿宋_GB2312" w:hAnsi="宋体" w:eastAsia="仿宋_GB2312" w:cs="宋体"/>
          <w:kern w:val="0"/>
          <w:sz w:val="18"/>
          <w:szCs w:val="18"/>
        </w:rPr>
        <w:t>注：“＋”为必须做项目；“－”为不做项目；“±”为选做项目。</w:t>
      </w:r>
    </w:p>
    <w:p>
      <w:pPr>
        <w:tabs>
          <w:tab w:val="left" w:pos="8364"/>
        </w:tabs>
        <w:snapToGrid w:val="0"/>
        <w:spacing w:before="100" w:beforeAutospacing="1" w:line="280" w:lineRule="exact"/>
        <w:ind w:firstLine="360" w:firstLineChars="200"/>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限于化学成分。②膏、霜剂产品除外。③标签、使用说明中标明对真菌有作用或用于外阴部的产品进行该项试验。④标签、使用说明中标明对某一特定微生物有杀灭或抑制作用的，应当进行该项试验。⑤标签、说明书中标明用于皮肤的抗（抑）菌制剂应进行多次皮肤刺激性试验，标明使用后及时清洗只进行暴露时间2小时的急性皮肤刺激试验；标明用于粘膜的抗（抑）菌制剂应当进行眼刺激性试验；标明用于阴道粘膜的抗（抑）菌制剂应当进行阴道粘膜刺激性试验。</w:t>
      </w:r>
    </w:p>
    <w:p>
      <w:pPr>
        <w:spacing w:line="280" w:lineRule="exact"/>
        <w:ind w:right="153" w:rightChars="73"/>
        <w:jc w:val="left"/>
        <w:rPr>
          <w:rFonts w:ascii="黑体" w:hAnsi="宋体" w:eastAsia="黑体" w:cs="宋体"/>
          <w:kern w:val="0"/>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roma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3253"/>
    </w:sdtPr>
    <w:sdtContent>
      <w:p>
        <w:pPr>
          <w:pStyle w:val="2"/>
          <w:jc w:val="center"/>
        </w:pPr>
        <w:r>
          <w:fldChar w:fldCharType="begin"/>
        </w:r>
        <w:r>
          <w:instrText xml:space="preserve"> PAGE   \* MERGEFORMAT </w:instrText>
        </w:r>
        <w:r>
          <w:fldChar w:fldCharType="separate"/>
        </w:r>
        <w:r>
          <w:rPr>
            <w:lang w:val="zh-CN"/>
          </w:rPr>
          <w:t>11</w:t>
        </w:r>
        <w:r>
          <w:rPr>
            <w:lang w:val="zh-CN"/>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
      </w:rPr>
    </w:pPr>
    <w:r>
      <w:rPr>
        <w:rStyle w:val="4"/>
      </w:rPr>
      <w:fldChar w:fldCharType="begin"/>
    </w:r>
    <w:r>
      <w:rPr>
        <w:rStyle w:val="4"/>
      </w:rPr>
      <w:instrText xml:space="preserve">PAGE  </w:instrText>
    </w:r>
    <w:r>
      <w:rPr>
        <w:rStyle w:val="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910033"/>
    <w:rsid w:val="7A91003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4">
    <w:name w:val="page number"/>
    <w:basedOn w:val="3"/>
    <w:uiPriority w:val="0"/>
  </w:style>
  <w:style w:type="character" w:styleId="5">
    <w:name w:val="Hyperlink"/>
    <w:basedOn w:val="3"/>
    <w:uiPriority w:val="0"/>
    <w:rPr>
      <w:color w:val="0000FF"/>
      <w:u w:val="single"/>
    </w:rPr>
  </w:style>
  <w:style w:type="paragraph" w:customStyle="1" w:styleId="7">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
    <w:name w:val="p18"/>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2017-03-06T07:08:00Z</dcterms:created>
  <dc:creator>DELL</dc:creator>
  <cp:lastModifiedBy>DELL</cp:lastModifiedBy>
  <dcterms:modified xsi:type="dcterms:W3CDTF">2017-03-06T07:10:04Z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