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19BCE">
      <w:pPr>
        <w:jc w:val="center"/>
        <w:rPr>
          <w:rFonts w:ascii="黑体" w:hAnsi="黑体" w:eastAsia="黑体"/>
          <w:b/>
          <w:sz w:val="44"/>
          <w:szCs w:val="44"/>
        </w:rPr>
      </w:pPr>
      <w:bookmarkStart w:id="0" w:name="_Toc413586940"/>
      <w:r>
        <w:rPr>
          <w:rFonts w:hint="eastAsia" w:ascii="黑体" w:hAnsi="黑体" w:eastAsia="黑体"/>
          <w:b/>
          <w:sz w:val="44"/>
          <w:szCs w:val="44"/>
        </w:rPr>
        <w:t>南京市卫生健康委员会</w:t>
      </w:r>
    </w:p>
    <w:p w14:paraId="78992645">
      <w:pPr>
        <w:jc w:val="center"/>
        <w:rPr>
          <w:rFonts w:ascii="黑体" w:hAnsi="黑体" w:eastAsia="黑体"/>
          <w:b/>
          <w:sz w:val="44"/>
          <w:szCs w:val="44"/>
        </w:rPr>
      </w:pPr>
      <w:r>
        <w:rPr>
          <w:rFonts w:hint="eastAsia" w:ascii="黑体" w:hAnsi="黑体" w:eastAsia="黑体"/>
          <w:b/>
          <w:sz w:val="44"/>
          <w:szCs w:val="44"/>
        </w:rPr>
        <w:t>202</w:t>
      </w:r>
      <w:r>
        <w:rPr>
          <w:rFonts w:hint="eastAsia" w:ascii="黑体" w:hAnsi="黑体" w:eastAsia="黑体"/>
          <w:b/>
          <w:sz w:val="44"/>
          <w:szCs w:val="44"/>
          <w:lang w:val="en-US" w:eastAsia="zh-CN"/>
        </w:rPr>
        <w:t>3</w:t>
      </w:r>
      <w:r>
        <w:rPr>
          <w:rFonts w:hint="eastAsia" w:ascii="黑体" w:hAnsi="黑体" w:eastAsia="黑体"/>
          <w:b/>
          <w:sz w:val="44"/>
          <w:szCs w:val="44"/>
        </w:rPr>
        <w:t>度部门整体绩效评价报告</w:t>
      </w:r>
    </w:p>
    <w:p w14:paraId="4990134F">
      <w:pPr>
        <w:jc w:val="center"/>
        <w:rPr>
          <w:rFonts w:ascii="黑体" w:hAnsi="黑体" w:eastAsia="黑体"/>
          <w:b/>
          <w:sz w:val="44"/>
          <w:szCs w:val="44"/>
        </w:rPr>
      </w:pPr>
    </w:p>
    <w:bookmarkEnd w:id="0"/>
    <w:p w14:paraId="445E213C">
      <w:pPr>
        <w:spacing w:line="360" w:lineRule="auto"/>
        <w:ind w:firstLine="640" w:firstLineChars="200"/>
        <w:rPr>
          <w:rFonts w:ascii="仿宋_GB2312" w:eastAsia="仿宋_GB2312"/>
          <w:sz w:val="32"/>
          <w:szCs w:val="32"/>
        </w:rPr>
      </w:pPr>
      <w:r>
        <w:rPr>
          <w:rFonts w:hint="eastAsia" w:ascii="仿宋_GB2312" w:eastAsia="仿宋_GB2312"/>
          <w:sz w:val="32"/>
          <w:szCs w:val="32"/>
        </w:rPr>
        <w:t>为全面推进预算绩效管理，强化部门支出责任，促进部门从整体上提升预算绩效管理水平，保障部门更好地履行职责，南京市卫生健康委员会（以下简称“市卫健委”）根据南京</w:t>
      </w:r>
      <w:r>
        <w:rPr>
          <w:rFonts w:hint="eastAsia" w:ascii="仿宋" w:hAnsi="仿宋" w:eastAsia="仿宋"/>
          <w:sz w:val="32"/>
          <w:szCs w:val="32"/>
          <w:lang w:eastAsia="zh-CN"/>
        </w:rPr>
        <w:t>市</w:t>
      </w:r>
      <w:r>
        <w:rPr>
          <w:rFonts w:hint="eastAsia" w:ascii="仿宋_GB2312" w:eastAsia="仿宋_GB2312"/>
          <w:sz w:val="32"/>
          <w:szCs w:val="32"/>
          <w:lang w:eastAsia="zh-CN"/>
        </w:rPr>
        <w:t>财政局</w:t>
      </w:r>
      <w:r>
        <w:rPr>
          <w:rFonts w:hint="eastAsia" w:ascii="仿宋_GB2312" w:eastAsia="仿宋_GB2312"/>
          <w:sz w:val="32"/>
          <w:szCs w:val="32"/>
        </w:rPr>
        <w:t>《关于印发202</w:t>
      </w:r>
      <w:r>
        <w:rPr>
          <w:rFonts w:hint="eastAsia" w:ascii="仿宋_GB2312" w:eastAsia="仿宋_GB2312"/>
          <w:sz w:val="32"/>
          <w:szCs w:val="32"/>
          <w:lang w:val="en-US" w:eastAsia="zh-CN"/>
        </w:rPr>
        <w:t>4</w:t>
      </w:r>
      <w:r>
        <w:rPr>
          <w:rFonts w:hint="eastAsia" w:ascii="仿宋_GB2312" w:eastAsia="仿宋_GB2312"/>
          <w:sz w:val="32"/>
          <w:szCs w:val="32"/>
        </w:rPr>
        <w:t>年南京市市级预算部门（单位）绩效管理工作要求的通知》等文件的相关要求，经过前期准备、评价指标研发、数据采集与核查、综合评价与分析等几个阶段，形成部门整体支出绩效评价报告，现将结果报告如下：</w:t>
      </w:r>
    </w:p>
    <w:p w14:paraId="619D4231">
      <w:pPr>
        <w:pStyle w:val="2"/>
        <w:spacing w:before="0" w:after="0" w:line="600" w:lineRule="exact"/>
        <w:ind w:firstLine="640" w:firstLineChars="200"/>
        <w:rPr>
          <w:rFonts w:ascii="黑体" w:hAnsi="黑体" w:eastAsia="黑体"/>
          <w:b w:val="0"/>
          <w:sz w:val="32"/>
          <w:szCs w:val="32"/>
        </w:rPr>
      </w:pPr>
      <w:bookmarkStart w:id="1" w:name="_Toc24624017"/>
      <w:r>
        <w:rPr>
          <w:rFonts w:hint="eastAsia" w:ascii="黑体" w:hAnsi="黑体" w:eastAsia="黑体"/>
          <w:b w:val="0"/>
          <w:sz w:val="32"/>
          <w:szCs w:val="32"/>
        </w:rPr>
        <w:t>一、部门概况</w:t>
      </w:r>
      <w:bookmarkEnd w:id="1"/>
    </w:p>
    <w:p w14:paraId="2DD572C0">
      <w:pPr>
        <w:pStyle w:val="3"/>
        <w:spacing w:before="0" w:after="0" w:line="600" w:lineRule="exact"/>
        <w:ind w:firstLine="640" w:firstLineChars="200"/>
        <w:rPr>
          <w:rFonts w:ascii="楷体" w:hAnsi="楷体" w:eastAsia="楷体"/>
          <w:b w:val="0"/>
        </w:rPr>
      </w:pPr>
      <w:bookmarkStart w:id="2" w:name="_Toc24624018"/>
      <w:r>
        <w:rPr>
          <w:rFonts w:hint="eastAsia" w:ascii="楷体" w:hAnsi="楷体" w:eastAsia="楷体"/>
          <w:b w:val="0"/>
        </w:rPr>
        <w:t>（一）部门基本情况</w:t>
      </w:r>
    </w:p>
    <w:p w14:paraId="779CB572">
      <w:pPr>
        <w:spacing w:line="600" w:lineRule="exact"/>
        <w:ind w:firstLine="640" w:firstLineChars="200"/>
        <w:rPr>
          <w:rFonts w:ascii="仿宋_GB2312" w:eastAsia="仿宋_GB2312"/>
          <w:sz w:val="32"/>
          <w:szCs w:val="32"/>
        </w:rPr>
      </w:pPr>
      <w:r>
        <w:rPr>
          <w:rFonts w:hint="eastAsia" w:ascii="仿宋_GB2312" w:eastAsia="仿宋_GB2312"/>
          <w:sz w:val="32"/>
          <w:szCs w:val="32"/>
        </w:rPr>
        <w:t>1.部门职责</w:t>
      </w:r>
      <w:bookmarkEnd w:id="2"/>
    </w:p>
    <w:p w14:paraId="3E294E22">
      <w:pPr>
        <w:spacing w:line="600" w:lineRule="exact"/>
        <w:ind w:firstLine="640" w:firstLineChars="200"/>
        <w:rPr>
          <w:rFonts w:ascii="仿宋_GB2312" w:eastAsia="仿宋_GB2312"/>
          <w:sz w:val="32"/>
          <w:szCs w:val="32"/>
        </w:rPr>
      </w:pPr>
      <w:r>
        <w:rPr>
          <w:rFonts w:hint="eastAsia" w:ascii="仿宋_GB2312" w:eastAsia="仿宋_GB2312"/>
          <w:sz w:val="32"/>
          <w:szCs w:val="32"/>
        </w:rPr>
        <w:t>（1）贯彻实施国民健康政策，拟订全市卫生健康事业发展地方性法规、规章草案和政策、规划，制定地方标准和技术规范。统筹规划卫生健康资源配置和信息化建设工作，指导全市卫生健康规划的编制和实施。制定并组织实施推进卫生健康基本公共服务均等化、普惠化、便捷化和公共资源向基层延伸等政策措施。</w:t>
      </w:r>
    </w:p>
    <w:p w14:paraId="0342E4F0">
      <w:pPr>
        <w:spacing w:line="600" w:lineRule="exact"/>
        <w:ind w:firstLine="640" w:firstLineChars="200"/>
        <w:rPr>
          <w:rFonts w:ascii="仿宋_GB2312" w:eastAsia="仿宋_GB2312"/>
          <w:sz w:val="32"/>
          <w:szCs w:val="32"/>
        </w:rPr>
      </w:pPr>
      <w:r>
        <w:rPr>
          <w:rFonts w:hint="eastAsia" w:ascii="仿宋_GB2312" w:eastAsia="仿宋_GB2312"/>
          <w:sz w:val="32"/>
          <w:szCs w:val="32"/>
        </w:rPr>
        <w:t>（2）负责健康南京战略协调推进工作，研究提出健康南京建设的政策建议、制度措施和职责分工并协调实施。统筹全市健康促进与健康服务工作。</w:t>
      </w:r>
    </w:p>
    <w:p w14:paraId="3B0D72FB">
      <w:pPr>
        <w:spacing w:line="600" w:lineRule="exact"/>
        <w:ind w:firstLine="640" w:firstLineChars="200"/>
        <w:rPr>
          <w:rFonts w:ascii="仿宋_GB2312" w:eastAsia="仿宋_GB2312"/>
          <w:sz w:val="32"/>
          <w:szCs w:val="32"/>
        </w:rPr>
      </w:pPr>
      <w:r>
        <w:rPr>
          <w:rFonts w:hint="eastAsia" w:ascii="仿宋_GB2312" w:eastAsia="仿宋_GB2312"/>
          <w:sz w:val="32"/>
          <w:szCs w:val="32"/>
        </w:rPr>
        <w:t>（3）协调推进深化医药卫生体制改革，会同有关部门研究提出深化医药卫生体制改革重大部署、政策、措施的建议。组织推动公立医院综合改革，推进管办分离，健全现代医院管理制度，制定并组织实施卫生健康公共服务提供主体多元化、提供方式多样化的政策措施，提出医疗服务和药品价格政策的建议。</w:t>
      </w:r>
    </w:p>
    <w:p w14:paraId="5F2D9102">
      <w:pPr>
        <w:spacing w:line="600" w:lineRule="exact"/>
        <w:ind w:firstLine="640" w:firstLineChars="200"/>
        <w:rPr>
          <w:rFonts w:ascii="仿宋_GB2312" w:eastAsia="仿宋_GB2312"/>
          <w:sz w:val="32"/>
          <w:szCs w:val="32"/>
        </w:rPr>
      </w:pPr>
      <w:r>
        <w:rPr>
          <w:rFonts w:hint="eastAsia" w:ascii="仿宋_GB2312" w:eastAsia="仿宋_GB2312"/>
          <w:sz w:val="32"/>
          <w:szCs w:val="32"/>
        </w:rPr>
        <w:t>（4）贯彻实施国家中医药法律、法规，拟订并组织实施中医药中长期发展规划、政策措施，并纳入全市卫生健康事业发展总体规划和战略目标。负责中医药和中西医结合工作的管理。</w:t>
      </w:r>
    </w:p>
    <w:p w14:paraId="421404AE">
      <w:pPr>
        <w:spacing w:line="600" w:lineRule="exact"/>
        <w:ind w:firstLine="640" w:firstLineChars="200"/>
        <w:rPr>
          <w:rFonts w:ascii="仿宋_GB2312" w:eastAsia="仿宋_GB2312"/>
          <w:sz w:val="32"/>
          <w:szCs w:val="32"/>
        </w:rPr>
      </w:pPr>
      <w:r>
        <w:rPr>
          <w:rFonts w:hint="eastAsia" w:ascii="仿宋_GB2312" w:eastAsia="仿宋_GB2312"/>
          <w:sz w:val="32"/>
          <w:szCs w:val="32"/>
        </w:rPr>
        <w:t>（5）制定并组织落实疾病预防控制规划、免疫规划以及严重危害人民健康公共卫生问题的干预措施。负责卫生应急工作，组织指导全市突发公共卫生事件的预防控制和各类突发公共事件的医疗卫生救援。发布法定报告传染病疫情信息、突发公共卫生事件应急处置信息。</w:t>
      </w:r>
    </w:p>
    <w:p w14:paraId="4F3636BA">
      <w:pPr>
        <w:spacing w:line="600" w:lineRule="exact"/>
        <w:ind w:firstLine="640" w:firstLineChars="200"/>
        <w:rPr>
          <w:rFonts w:ascii="仿宋_GB2312" w:eastAsia="仿宋_GB2312"/>
          <w:sz w:val="32"/>
          <w:szCs w:val="32"/>
        </w:rPr>
      </w:pPr>
      <w:r>
        <w:rPr>
          <w:rFonts w:hint="eastAsia" w:ascii="仿宋_GB2312" w:eastAsia="仿宋_GB2312"/>
          <w:sz w:val="32"/>
          <w:szCs w:val="32"/>
        </w:rPr>
        <w:t>（6）组织拟订并协调落实全市应对人口老龄化政策措施，负责推进全市老年健康服务体系建设和医养结合工作。承担市老龄工作委员会办公室的具体工作。</w:t>
      </w:r>
    </w:p>
    <w:p w14:paraId="1081D825">
      <w:pPr>
        <w:spacing w:line="600" w:lineRule="exact"/>
        <w:ind w:firstLine="640" w:firstLineChars="200"/>
        <w:rPr>
          <w:rFonts w:ascii="仿宋_GB2312" w:eastAsia="仿宋_GB2312"/>
          <w:sz w:val="32"/>
          <w:szCs w:val="32"/>
        </w:rPr>
      </w:pPr>
      <w:r>
        <w:rPr>
          <w:rFonts w:hint="eastAsia" w:ascii="仿宋_GB2312" w:eastAsia="仿宋_GB2312"/>
          <w:sz w:val="32"/>
          <w:szCs w:val="32"/>
        </w:rPr>
        <w:t>（7）开展药品使用监测、临床综合评价和短缺药品预警。提出基本药物价格政策的建议。</w:t>
      </w:r>
    </w:p>
    <w:p w14:paraId="403BD06A">
      <w:pPr>
        <w:spacing w:line="600" w:lineRule="exact"/>
        <w:ind w:firstLine="640" w:firstLineChars="200"/>
        <w:rPr>
          <w:rFonts w:ascii="仿宋_GB2312" w:eastAsia="仿宋_GB2312"/>
          <w:sz w:val="32"/>
          <w:szCs w:val="32"/>
        </w:rPr>
      </w:pPr>
      <w:r>
        <w:rPr>
          <w:rFonts w:hint="eastAsia" w:ascii="仿宋_GB2312" w:eastAsia="仿宋_GB2312"/>
          <w:sz w:val="32"/>
          <w:szCs w:val="32"/>
        </w:rPr>
        <w:t>（8）监督实施国家颁布的医疗机构和医疗服务全行业管理办法、卫生健康专业技术人员资格标准、执业规则和服务规范。建立全市医疗服务评价和监督管理体系。制定并组织实施医疗服务地方规范、标准和卫生健康专业技术人员执业规则、服务规范。</w:t>
      </w:r>
    </w:p>
    <w:p w14:paraId="1010A353">
      <w:pPr>
        <w:spacing w:line="600" w:lineRule="exact"/>
        <w:ind w:firstLine="640" w:firstLineChars="200"/>
        <w:rPr>
          <w:rFonts w:ascii="仿宋_GB2312" w:eastAsia="仿宋_GB2312"/>
          <w:sz w:val="32"/>
          <w:szCs w:val="32"/>
        </w:rPr>
      </w:pPr>
      <w:r>
        <w:rPr>
          <w:rFonts w:hint="eastAsia" w:ascii="仿宋_GB2312" w:eastAsia="仿宋_GB2312"/>
          <w:sz w:val="32"/>
          <w:szCs w:val="32"/>
        </w:rPr>
        <w:t>（9）拟订职业卫生、放射卫生相关政策、地方标准并组织实施。组织开展职业病监测、专项调查、职业健康风险评估和职业人群健康管理工作。</w:t>
      </w:r>
    </w:p>
    <w:p w14:paraId="185F90E3">
      <w:pPr>
        <w:spacing w:line="600" w:lineRule="exact"/>
        <w:ind w:firstLine="640" w:firstLineChars="200"/>
        <w:rPr>
          <w:rFonts w:ascii="仿宋_GB2312" w:eastAsia="仿宋_GB2312"/>
          <w:sz w:val="32"/>
          <w:szCs w:val="32"/>
        </w:rPr>
      </w:pPr>
      <w:r>
        <w:rPr>
          <w:rFonts w:hint="eastAsia" w:ascii="仿宋_GB2312" w:eastAsia="仿宋_GB2312"/>
          <w:sz w:val="32"/>
          <w:szCs w:val="32"/>
        </w:rPr>
        <w:t>（10）负责职责范围内的职业卫生、放射卫生、学校卫生、公共场所卫生、饮用水卫生等公共卫生的监督管理，负责传染病、职业病防治监督，健全卫生健康综合监督体系，推进全市卫生健康诚信体系建设。组织开展食品安全风险监测、评估，依法制定并公布食品安全地方标准，开展食品安全企业标准备案。</w:t>
      </w:r>
    </w:p>
    <w:p w14:paraId="13FF8623">
      <w:pPr>
        <w:spacing w:line="600" w:lineRule="exact"/>
        <w:ind w:firstLine="640" w:firstLineChars="200"/>
        <w:rPr>
          <w:rFonts w:ascii="仿宋_GB2312" w:eastAsia="仿宋_GB2312"/>
          <w:sz w:val="32"/>
          <w:szCs w:val="32"/>
        </w:rPr>
      </w:pPr>
      <w:r>
        <w:rPr>
          <w:rFonts w:hint="eastAsia" w:ascii="仿宋_GB2312" w:eastAsia="仿宋_GB2312"/>
          <w:sz w:val="32"/>
          <w:szCs w:val="32"/>
        </w:rPr>
        <w:t>（11）负责计划生育管理和服务工作，开展人口监测预警，研究提出人口与家庭发展相关政策建议，落实计划生育政策和人口发展规划相关任务。</w:t>
      </w:r>
    </w:p>
    <w:p w14:paraId="667F0F38">
      <w:pPr>
        <w:spacing w:line="600" w:lineRule="exact"/>
        <w:ind w:firstLine="640" w:firstLineChars="200"/>
        <w:rPr>
          <w:rFonts w:ascii="仿宋_GB2312" w:eastAsia="仿宋_GB2312"/>
          <w:sz w:val="32"/>
          <w:szCs w:val="32"/>
        </w:rPr>
      </w:pPr>
      <w:r>
        <w:rPr>
          <w:rFonts w:hint="eastAsia" w:ascii="仿宋_GB2312" w:eastAsia="仿宋_GB2312"/>
          <w:sz w:val="32"/>
          <w:szCs w:val="32"/>
        </w:rPr>
        <w:t>（12）指导全市基层卫生健康工作，推进基层医疗卫生、妇幼健康服务体系和全科医生队伍建设。</w:t>
      </w:r>
    </w:p>
    <w:p w14:paraId="285D18CA">
      <w:pPr>
        <w:spacing w:line="600" w:lineRule="exact"/>
        <w:ind w:firstLine="640" w:firstLineChars="200"/>
        <w:rPr>
          <w:rFonts w:ascii="仿宋_GB2312" w:eastAsia="仿宋_GB2312"/>
          <w:sz w:val="32"/>
          <w:szCs w:val="32"/>
        </w:rPr>
      </w:pPr>
      <w:r>
        <w:rPr>
          <w:rFonts w:hint="eastAsia" w:ascii="仿宋_GB2312" w:eastAsia="仿宋_GB2312"/>
          <w:sz w:val="32"/>
          <w:szCs w:val="32"/>
        </w:rPr>
        <w:t>（13）拟订全市卫生健康科技发展规划，组织实施卫生健康相关科研项目。推进卫生健康科技创新发展。组织实施毕业后医学教育和继续医学教育工作。组织开展住院医师和专科医师规范化培训工作。</w:t>
      </w:r>
    </w:p>
    <w:p w14:paraId="29D5A6FD">
      <w:pPr>
        <w:spacing w:line="600" w:lineRule="exact"/>
        <w:ind w:firstLine="640" w:firstLineChars="200"/>
        <w:rPr>
          <w:rFonts w:ascii="仿宋_GB2312" w:eastAsia="仿宋_GB2312"/>
          <w:sz w:val="32"/>
          <w:szCs w:val="32"/>
        </w:rPr>
      </w:pPr>
      <w:r>
        <w:rPr>
          <w:rFonts w:hint="eastAsia" w:ascii="仿宋_GB2312" w:eastAsia="仿宋_GB2312"/>
          <w:sz w:val="32"/>
          <w:szCs w:val="32"/>
        </w:rPr>
        <w:t>（14）拟订全市卫生健康人才发展规划，指导卫生健康人才队伍建设。</w:t>
      </w:r>
    </w:p>
    <w:p w14:paraId="5D780496">
      <w:pPr>
        <w:spacing w:line="600" w:lineRule="exact"/>
        <w:ind w:firstLine="640" w:firstLineChars="200"/>
        <w:rPr>
          <w:rFonts w:ascii="仿宋_GB2312" w:eastAsia="仿宋_GB2312"/>
          <w:sz w:val="32"/>
          <w:szCs w:val="32"/>
        </w:rPr>
      </w:pPr>
      <w:r>
        <w:rPr>
          <w:rFonts w:hint="eastAsia" w:ascii="仿宋_GB2312" w:eastAsia="仿宋_GB2312"/>
          <w:sz w:val="32"/>
          <w:szCs w:val="32"/>
        </w:rPr>
        <w:t>（15）负责卫生健康宣传、健康教育等工作。组织指导对外交流合作和援外工作，开展与港澳台的交流与合作。</w:t>
      </w:r>
    </w:p>
    <w:p w14:paraId="0D96CCAD">
      <w:pPr>
        <w:spacing w:line="600" w:lineRule="exact"/>
        <w:ind w:firstLine="640" w:firstLineChars="200"/>
        <w:rPr>
          <w:rFonts w:ascii="仿宋_GB2312" w:eastAsia="仿宋_GB2312"/>
          <w:sz w:val="32"/>
          <w:szCs w:val="32"/>
        </w:rPr>
      </w:pPr>
      <w:r>
        <w:rPr>
          <w:rFonts w:hint="eastAsia" w:ascii="仿宋_GB2312" w:eastAsia="仿宋_GB2312"/>
          <w:sz w:val="32"/>
          <w:szCs w:val="32"/>
        </w:rPr>
        <w:t>（16）负责市干部保健委员会确定的保健对象的医疗保健工作，负责市级部门有关干部医疗管理工作，负责重要会议与重大活动的医疗卫生保障工作。</w:t>
      </w:r>
    </w:p>
    <w:p w14:paraId="0A7B4D2F">
      <w:pPr>
        <w:spacing w:line="600" w:lineRule="exact"/>
        <w:ind w:firstLine="640" w:firstLineChars="200"/>
        <w:rPr>
          <w:rFonts w:ascii="仿宋_GB2312" w:eastAsia="仿宋_GB2312"/>
          <w:sz w:val="32"/>
          <w:szCs w:val="32"/>
        </w:rPr>
      </w:pPr>
      <w:r>
        <w:rPr>
          <w:rFonts w:hint="eastAsia" w:ascii="仿宋_GB2312" w:eastAsia="仿宋_GB2312"/>
          <w:sz w:val="32"/>
          <w:szCs w:val="32"/>
        </w:rPr>
        <w:t>（17）承担健康南京建设领导小组办公室、市爱国卫生运动委员会办公室等的具体工作。指导市计划生育协会的业务工作。</w:t>
      </w:r>
    </w:p>
    <w:p w14:paraId="6688AD6B">
      <w:pPr>
        <w:spacing w:line="600" w:lineRule="exact"/>
        <w:ind w:firstLine="640" w:firstLineChars="200"/>
        <w:rPr>
          <w:rFonts w:ascii="仿宋_GB2312" w:eastAsia="仿宋_GB2312"/>
          <w:sz w:val="32"/>
          <w:szCs w:val="32"/>
        </w:rPr>
      </w:pPr>
      <w:r>
        <w:rPr>
          <w:rFonts w:hint="eastAsia" w:ascii="仿宋_GB2312" w:eastAsia="仿宋_GB2312"/>
          <w:sz w:val="32"/>
          <w:szCs w:val="32"/>
        </w:rPr>
        <w:t>（18）完成市委、市政府交办的其他任务。</w:t>
      </w:r>
    </w:p>
    <w:p w14:paraId="1C38EFD2">
      <w:pPr>
        <w:spacing w:line="600" w:lineRule="exact"/>
        <w:ind w:firstLine="640" w:firstLineChars="200"/>
        <w:rPr>
          <w:rFonts w:ascii="仿宋_GB2312" w:eastAsia="仿宋_GB2312"/>
          <w:sz w:val="32"/>
          <w:szCs w:val="32"/>
        </w:rPr>
      </w:pPr>
      <w:bookmarkStart w:id="3" w:name="_Toc24624019"/>
      <w:r>
        <w:rPr>
          <w:rFonts w:hint="eastAsia" w:ascii="仿宋_GB2312" w:eastAsia="仿宋_GB2312"/>
          <w:sz w:val="32"/>
          <w:szCs w:val="32"/>
          <w:lang w:val="en-US" w:eastAsia="zh-CN"/>
        </w:rPr>
        <w:t>2</w:t>
      </w:r>
      <w:r>
        <w:rPr>
          <w:rFonts w:hint="eastAsia" w:ascii="仿宋_GB2312" w:eastAsia="仿宋_GB2312"/>
          <w:sz w:val="32"/>
          <w:szCs w:val="32"/>
        </w:rPr>
        <w:t>.部门机构设置</w:t>
      </w:r>
      <w:bookmarkEnd w:id="3"/>
    </w:p>
    <w:p w14:paraId="448DD5E3">
      <w:pPr>
        <w:spacing w:line="600" w:lineRule="exact"/>
        <w:ind w:firstLine="640" w:firstLineChars="200"/>
        <w:rPr>
          <w:rFonts w:ascii="仿宋_GB2312" w:eastAsia="仿宋_GB2312"/>
          <w:sz w:val="32"/>
          <w:szCs w:val="32"/>
        </w:rPr>
      </w:pPr>
      <w:r>
        <w:rPr>
          <w:rFonts w:hint="eastAsia" w:ascii="仿宋_GB2312" w:eastAsia="仿宋_GB2312"/>
          <w:sz w:val="32"/>
          <w:szCs w:val="32"/>
        </w:rPr>
        <w:t>根据部门职责分工，市卫健委内设办公室（对外合作交流处）、组织人事处、规划发展与信息化处、财务处(审计处）、行政审批服务处（法规处）、体制改革处、健康促进处（健康南京建设领导小组办公室、市爱国卫生运动委员会办公室）、疾病预防控制处（食品安全标准与监测评估处、市政府血吸虫病地方病防治领导小组办公室）、医政医管处、基层卫生健康处、卫生应急办公室、科技教育处、综合监督处、药物政策与基本药物制度处、老龄健康处、妇幼健康处、职业健康处、人口监测与家庭发展处、宣传处、中医处、信访与行风建设处、公立医院管理处等22个处室，另单设机关党委、市干部保健委员会办公室、市老龄工作委员会办公室以及离退休干部处。各处室职能详见附件1。</w:t>
      </w:r>
    </w:p>
    <w:p w14:paraId="102EC58C">
      <w:pPr>
        <w:spacing w:line="600" w:lineRule="exact"/>
        <w:ind w:firstLine="640" w:firstLineChars="200"/>
        <w:rPr>
          <w:rFonts w:ascii="仿宋_GB2312" w:eastAsia="仿宋_GB2312"/>
          <w:sz w:val="32"/>
          <w:szCs w:val="32"/>
        </w:rPr>
      </w:pPr>
      <w:bookmarkStart w:id="4" w:name="_Toc24624020"/>
      <w:r>
        <w:rPr>
          <w:rFonts w:hint="eastAsia" w:ascii="仿宋_GB2312" w:eastAsia="仿宋_GB2312"/>
          <w:sz w:val="32"/>
          <w:szCs w:val="32"/>
          <w:lang w:val="en-US" w:eastAsia="zh-CN"/>
        </w:rPr>
        <w:t>3</w:t>
      </w:r>
      <w:r>
        <w:rPr>
          <w:rFonts w:hint="eastAsia" w:ascii="仿宋_GB2312" w:eastAsia="仿宋_GB2312"/>
          <w:sz w:val="32"/>
          <w:szCs w:val="32"/>
        </w:rPr>
        <w:t>.部门人员情况</w:t>
      </w:r>
      <w:bookmarkEnd w:id="4"/>
    </w:p>
    <w:p w14:paraId="1AB7FFF5">
      <w:pPr>
        <w:spacing w:line="600" w:lineRule="exact"/>
        <w:ind w:firstLine="640" w:firstLineChars="200"/>
        <w:rPr>
          <w:rFonts w:ascii="仿宋_GB2312" w:eastAsia="仿宋_GB2312"/>
          <w:sz w:val="32"/>
          <w:szCs w:val="32"/>
        </w:rPr>
      </w:pPr>
      <w:r>
        <w:rPr>
          <w:rFonts w:hint="eastAsia" w:ascii="仿宋_GB2312" w:eastAsia="仿宋_GB2312"/>
          <w:sz w:val="32"/>
          <w:szCs w:val="32"/>
        </w:rPr>
        <w:t>截至202</w:t>
      </w:r>
      <w:r>
        <w:rPr>
          <w:rFonts w:hint="eastAsia" w:ascii="仿宋_GB2312" w:eastAsia="仿宋_GB2312"/>
          <w:sz w:val="32"/>
          <w:szCs w:val="32"/>
          <w:lang w:val="en-US" w:eastAsia="zh-CN"/>
        </w:rPr>
        <w:t>3</w:t>
      </w:r>
      <w:r>
        <w:rPr>
          <w:rFonts w:hint="eastAsia" w:ascii="仿宋_GB2312" w:eastAsia="仿宋_GB2312"/>
          <w:sz w:val="32"/>
          <w:szCs w:val="32"/>
        </w:rPr>
        <w:t>年末，市卫健委</w:t>
      </w:r>
      <w:r>
        <w:rPr>
          <w:rFonts w:hint="eastAsia" w:ascii="仿宋_GB2312" w:eastAsia="仿宋_GB2312"/>
          <w:sz w:val="32"/>
          <w:szCs w:val="32"/>
          <w:lang w:eastAsia="zh-CN"/>
        </w:rPr>
        <w:t>财政承担人员经费的</w:t>
      </w:r>
      <w:r>
        <w:rPr>
          <w:rFonts w:hint="eastAsia" w:ascii="仿宋_GB2312" w:eastAsia="仿宋_GB2312"/>
          <w:sz w:val="32"/>
          <w:szCs w:val="32"/>
        </w:rPr>
        <w:t>实有人员</w:t>
      </w:r>
      <w:r>
        <w:rPr>
          <w:rFonts w:hint="eastAsia" w:ascii="仿宋_GB2312" w:eastAsia="仿宋_GB2312"/>
          <w:sz w:val="32"/>
          <w:szCs w:val="32"/>
          <w:lang w:val="en-US" w:eastAsia="zh-CN"/>
        </w:rPr>
        <w:t>277</w:t>
      </w:r>
      <w:r>
        <w:rPr>
          <w:rFonts w:hint="eastAsia" w:ascii="仿宋_GB2312" w:eastAsia="仿宋_GB2312"/>
          <w:sz w:val="32"/>
          <w:szCs w:val="32"/>
        </w:rPr>
        <w:t>人，其中在职人员1</w:t>
      </w:r>
      <w:r>
        <w:rPr>
          <w:rFonts w:hint="eastAsia" w:ascii="仿宋_GB2312" w:eastAsia="仿宋_GB2312"/>
          <w:sz w:val="32"/>
          <w:szCs w:val="32"/>
          <w:lang w:val="en-US" w:eastAsia="zh-CN"/>
        </w:rPr>
        <w:t>37</w:t>
      </w:r>
      <w:r>
        <w:rPr>
          <w:rFonts w:hint="eastAsia" w:ascii="仿宋_GB2312" w:eastAsia="仿宋_GB2312"/>
          <w:sz w:val="32"/>
          <w:szCs w:val="32"/>
        </w:rPr>
        <w:t>人、离休人员</w:t>
      </w:r>
      <w:r>
        <w:rPr>
          <w:rFonts w:hint="eastAsia" w:ascii="仿宋_GB2312" w:eastAsia="仿宋_GB2312"/>
          <w:sz w:val="32"/>
          <w:szCs w:val="32"/>
          <w:lang w:val="en-US" w:eastAsia="zh-CN"/>
        </w:rPr>
        <w:t>6</w:t>
      </w:r>
      <w:r>
        <w:rPr>
          <w:rFonts w:hint="eastAsia" w:ascii="仿宋_GB2312" w:eastAsia="仿宋_GB2312"/>
          <w:sz w:val="32"/>
          <w:szCs w:val="32"/>
        </w:rPr>
        <w:t>人、</w:t>
      </w:r>
      <w:r>
        <w:rPr>
          <w:rFonts w:hint="eastAsia" w:ascii="仿宋_GB2312" w:eastAsia="仿宋_GB2312"/>
          <w:sz w:val="32"/>
          <w:szCs w:val="32"/>
          <w:lang w:eastAsia="zh-CN"/>
        </w:rPr>
        <w:t>退休人员</w:t>
      </w:r>
      <w:r>
        <w:rPr>
          <w:rFonts w:hint="eastAsia" w:ascii="仿宋_GB2312" w:eastAsia="仿宋_GB2312"/>
          <w:sz w:val="32"/>
          <w:szCs w:val="32"/>
          <w:lang w:val="en-US" w:eastAsia="zh-CN"/>
        </w:rPr>
        <w:t>132人，</w:t>
      </w:r>
      <w:r>
        <w:rPr>
          <w:rFonts w:hint="eastAsia" w:ascii="仿宋_GB2312" w:eastAsia="仿宋_GB2312"/>
          <w:sz w:val="32"/>
          <w:szCs w:val="32"/>
          <w:lang w:eastAsia="zh-CN"/>
        </w:rPr>
        <w:t>行政附属</w:t>
      </w:r>
      <w:r>
        <w:rPr>
          <w:rFonts w:hint="eastAsia" w:ascii="仿宋_GB2312" w:eastAsia="仿宋_GB2312"/>
          <w:sz w:val="32"/>
          <w:szCs w:val="32"/>
        </w:rPr>
        <w:t>人员</w:t>
      </w:r>
      <w:r>
        <w:rPr>
          <w:rFonts w:hint="eastAsia" w:ascii="仿宋_GB2312" w:eastAsia="仿宋_GB2312"/>
          <w:sz w:val="32"/>
          <w:szCs w:val="32"/>
          <w:lang w:val="en-US" w:eastAsia="zh-CN"/>
        </w:rPr>
        <w:t>2</w:t>
      </w:r>
      <w:r>
        <w:rPr>
          <w:rFonts w:hint="eastAsia" w:ascii="仿宋_GB2312" w:eastAsia="仿宋_GB2312"/>
          <w:sz w:val="32"/>
          <w:szCs w:val="32"/>
        </w:rPr>
        <w:t>人。</w:t>
      </w:r>
      <w:r>
        <w:rPr>
          <w:rFonts w:hint="eastAsia" w:ascii="仿宋_GB2312" w:eastAsia="仿宋_GB2312"/>
          <w:sz w:val="32"/>
          <w:szCs w:val="32"/>
          <w:lang w:eastAsia="zh-CN"/>
        </w:rPr>
        <w:t>退休人员退休费由社保中心发放，其他</w:t>
      </w:r>
      <w:r>
        <w:rPr>
          <w:rFonts w:hint="eastAsia" w:ascii="仿宋_GB2312" w:eastAsia="仿宋_GB2312"/>
          <w:sz w:val="32"/>
          <w:szCs w:val="32"/>
        </w:rPr>
        <w:t>人员经费均由</w:t>
      </w:r>
      <w:r>
        <w:rPr>
          <w:rFonts w:ascii="仿宋_GB2312" w:eastAsia="仿宋_GB2312"/>
          <w:sz w:val="32"/>
          <w:szCs w:val="32"/>
        </w:rPr>
        <w:t>一般公共预算财政拨款（补助）开支</w:t>
      </w:r>
      <w:r>
        <w:rPr>
          <w:rFonts w:hint="eastAsia" w:ascii="仿宋_GB2312" w:eastAsia="仿宋_GB2312"/>
          <w:sz w:val="32"/>
          <w:szCs w:val="32"/>
        </w:rPr>
        <w:t>，详情见下表：</w:t>
      </w:r>
    </w:p>
    <w:p w14:paraId="4226CD1D">
      <w:pPr>
        <w:pStyle w:val="14"/>
        <w:rPr>
          <w:rFonts w:ascii="仿宋_GB2312" w:hAnsi="仿宋_GB2312" w:cs="仿宋_GB2312"/>
        </w:rPr>
      </w:pPr>
      <w:r>
        <w:rPr>
          <w:rFonts w:hint="eastAsia" w:ascii="仿宋_GB2312" w:hAnsi="仿宋_GB2312" w:cs="仿宋_GB2312"/>
        </w:rPr>
        <w:t>市卫健委机构人员情况表</w:t>
      </w:r>
    </w:p>
    <w:p w14:paraId="0F1CA20F">
      <w:pPr>
        <w:pStyle w:val="14"/>
        <w:jc w:val="right"/>
        <w:rPr>
          <w:sz w:val="21"/>
        </w:rPr>
      </w:pPr>
      <w:r>
        <w:rPr>
          <w:rFonts w:hint="eastAsia" w:ascii="仿宋_GB2312" w:hAnsi="仿宋_GB2312" w:cs="仿宋_GB2312"/>
        </w:rPr>
        <w:t>单位：个、人</w:t>
      </w:r>
    </w:p>
    <w:tbl>
      <w:tblPr>
        <w:tblStyle w:val="9"/>
        <w:tblW w:w="4999" w:type="pct"/>
        <w:tblInd w:w="0" w:type="dxa"/>
        <w:tblBorders>
          <w:top w:val="single" w:color="000000" w:sz="4" w:space="0"/>
          <w:left w:val="none" w:color="auto" w:sz="0" w:space="0"/>
          <w:bottom w:val="single" w:color="000000" w:sz="4" w:space="0"/>
          <w:right w:val="none" w:color="auto" w:sz="0" w:space="0"/>
          <w:insideH w:val="dotted" w:color="000000" w:sz="4" w:space="0"/>
          <w:insideV w:val="dotted" w:color="000000" w:sz="4" w:space="0"/>
        </w:tblBorders>
        <w:tblLayout w:type="autofit"/>
        <w:tblCellMar>
          <w:top w:w="0" w:type="dxa"/>
          <w:left w:w="0" w:type="dxa"/>
          <w:bottom w:w="0" w:type="dxa"/>
          <w:right w:w="0" w:type="dxa"/>
        </w:tblCellMar>
      </w:tblPr>
      <w:tblGrid>
        <w:gridCol w:w="1704"/>
        <w:gridCol w:w="4013"/>
        <w:gridCol w:w="2617"/>
      </w:tblGrid>
      <w:tr w14:paraId="1EFF8F38">
        <w:tblPrEx>
          <w:tblBorders>
            <w:top w:val="single"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54" w:hRule="atLeast"/>
        </w:trPr>
        <w:tc>
          <w:tcPr>
            <w:tcW w:w="1022" w:type="pct"/>
            <w:tcBorders>
              <w:tl2br w:val="nil"/>
              <w:tr2bl w:val="nil"/>
            </w:tcBorders>
            <w:shd w:val="clear" w:color="auto" w:fill="auto"/>
            <w:noWrap/>
            <w:tcMar>
              <w:top w:w="15" w:type="dxa"/>
              <w:left w:w="15" w:type="dxa"/>
              <w:right w:w="15" w:type="dxa"/>
            </w:tcMar>
            <w:vAlign w:val="center"/>
          </w:tcPr>
          <w:p w14:paraId="0AF8F6C8">
            <w:pPr>
              <w:ind w:right="105" w:rightChars="50"/>
              <w:jc w:val="center"/>
              <w:textAlignment w:val="center"/>
              <w:rPr>
                <w:rFonts w:ascii="仿宋_GB2312" w:hAnsi="仿宋_GB2312" w:eastAsia="仿宋_GB2312" w:cs="仿宋_GB2312"/>
                <w:b/>
                <w:bCs/>
                <w:color w:val="000000"/>
                <w:sz w:val="24"/>
                <w:szCs w:val="24"/>
                <w:lang w:bidi="ar"/>
              </w:rPr>
            </w:pPr>
            <w:r>
              <w:rPr>
                <w:rFonts w:hint="eastAsia" w:ascii="仿宋_GB2312" w:hAnsi="仿宋_GB2312" w:eastAsia="仿宋_GB2312" w:cs="仿宋_GB2312"/>
                <w:b/>
                <w:bCs/>
                <w:color w:val="000000"/>
                <w:sz w:val="24"/>
                <w:szCs w:val="24"/>
                <w:lang w:bidi="ar"/>
              </w:rPr>
              <w:t>序号</w:t>
            </w:r>
          </w:p>
        </w:tc>
        <w:tc>
          <w:tcPr>
            <w:tcW w:w="2407" w:type="pct"/>
            <w:tcBorders>
              <w:tl2br w:val="nil"/>
              <w:tr2bl w:val="nil"/>
            </w:tcBorders>
            <w:shd w:val="clear" w:color="auto" w:fill="auto"/>
            <w:noWrap/>
            <w:tcMar>
              <w:top w:w="15" w:type="dxa"/>
              <w:left w:w="15" w:type="dxa"/>
              <w:right w:w="15" w:type="dxa"/>
            </w:tcMar>
            <w:vAlign w:val="center"/>
          </w:tcPr>
          <w:p w14:paraId="1E8F4949">
            <w:pPr>
              <w:ind w:right="105" w:rightChars="50"/>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bidi="ar"/>
              </w:rPr>
              <w:t>项目名称</w:t>
            </w:r>
          </w:p>
        </w:tc>
        <w:tc>
          <w:tcPr>
            <w:tcW w:w="1569" w:type="pct"/>
            <w:tcBorders>
              <w:tl2br w:val="nil"/>
              <w:tr2bl w:val="nil"/>
            </w:tcBorders>
            <w:shd w:val="clear" w:color="auto" w:fill="auto"/>
            <w:noWrap/>
            <w:tcMar>
              <w:top w:w="15" w:type="dxa"/>
              <w:left w:w="15" w:type="dxa"/>
              <w:right w:w="15" w:type="dxa"/>
            </w:tcMar>
            <w:vAlign w:val="center"/>
          </w:tcPr>
          <w:p w14:paraId="17EDC4E5">
            <w:pPr>
              <w:ind w:right="105" w:rightChars="50"/>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数量（人数）</w:t>
            </w:r>
          </w:p>
        </w:tc>
      </w:tr>
      <w:tr w14:paraId="3E5FADFA">
        <w:tblPrEx>
          <w:tblBorders>
            <w:top w:val="single"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54" w:hRule="atLeast"/>
        </w:trPr>
        <w:tc>
          <w:tcPr>
            <w:tcW w:w="1022" w:type="pct"/>
            <w:tcBorders>
              <w:tl2br w:val="nil"/>
              <w:tr2bl w:val="nil"/>
            </w:tcBorders>
            <w:shd w:val="clear" w:color="auto" w:fill="auto"/>
            <w:noWrap/>
            <w:tcMar>
              <w:top w:w="15" w:type="dxa"/>
              <w:left w:w="15" w:type="dxa"/>
              <w:right w:w="15" w:type="dxa"/>
            </w:tcMar>
            <w:vAlign w:val="center"/>
          </w:tcPr>
          <w:p w14:paraId="499B093E">
            <w:pPr>
              <w:ind w:right="105" w:rightChars="50"/>
              <w:jc w:val="center"/>
              <w:textAlignment w:val="center"/>
              <w:rPr>
                <w:rFonts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一</w:t>
            </w:r>
          </w:p>
        </w:tc>
        <w:tc>
          <w:tcPr>
            <w:tcW w:w="2407" w:type="pct"/>
            <w:tcBorders>
              <w:tl2br w:val="nil"/>
              <w:tr2bl w:val="nil"/>
            </w:tcBorders>
            <w:shd w:val="clear" w:color="auto" w:fill="auto"/>
            <w:noWrap/>
            <w:tcMar>
              <w:top w:w="15" w:type="dxa"/>
              <w:left w:w="15" w:type="dxa"/>
              <w:right w:w="15" w:type="dxa"/>
            </w:tcMar>
            <w:vAlign w:val="center"/>
          </w:tcPr>
          <w:p w14:paraId="18D050E4">
            <w:pPr>
              <w:ind w:left="105" w:leftChars="50"/>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独立编制机构数</w:t>
            </w:r>
          </w:p>
        </w:tc>
        <w:tc>
          <w:tcPr>
            <w:tcW w:w="1569" w:type="pct"/>
            <w:tcBorders>
              <w:tl2br w:val="nil"/>
              <w:tr2bl w:val="nil"/>
            </w:tcBorders>
            <w:shd w:val="clear" w:color="auto" w:fill="auto"/>
            <w:noWrap/>
            <w:tcMar>
              <w:top w:w="15" w:type="dxa"/>
              <w:left w:w="15" w:type="dxa"/>
              <w:right w:w="15" w:type="dxa"/>
            </w:tcMar>
            <w:vAlign w:val="center"/>
          </w:tcPr>
          <w:p w14:paraId="18AA2BFB">
            <w:pPr>
              <w:ind w:right="105" w:rightChars="50"/>
              <w:jc w:val="righ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w:t>
            </w:r>
          </w:p>
        </w:tc>
      </w:tr>
      <w:tr w14:paraId="0D24B5E8">
        <w:tblPrEx>
          <w:tblBorders>
            <w:top w:val="single"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54" w:hRule="atLeast"/>
        </w:trPr>
        <w:tc>
          <w:tcPr>
            <w:tcW w:w="1022" w:type="pct"/>
            <w:tcBorders>
              <w:tl2br w:val="nil"/>
              <w:tr2bl w:val="nil"/>
            </w:tcBorders>
            <w:shd w:val="clear" w:color="auto" w:fill="auto"/>
            <w:noWrap/>
            <w:tcMar>
              <w:top w:w="15" w:type="dxa"/>
              <w:left w:w="15" w:type="dxa"/>
              <w:right w:w="15" w:type="dxa"/>
            </w:tcMar>
            <w:vAlign w:val="center"/>
          </w:tcPr>
          <w:p w14:paraId="71672D07">
            <w:pPr>
              <w:ind w:right="105" w:rightChars="50"/>
              <w:jc w:val="center"/>
              <w:textAlignment w:val="center"/>
              <w:rPr>
                <w:rFonts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二</w:t>
            </w:r>
          </w:p>
        </w:tc>
        <w:tc>
          <w:tcPr>
            <w:tcW w:w="2407" w:type="pct"/>
            <w:tcBorders>
              <w:tl2br w:val="nil"/>
              <w:tr2bl w:val="nil"/>
            </w:tcBorders>
            <w:shd w:val="clear" w:color="auto" w:fill="auto"/>
            <w:noWrap/>
            <w:tcMar>
              <w:top w:w="15" w:type="dxa"/>
              <w:left w:w="15" w:type="dxa"/>
              <w:right w:w="15" w:type="dxa"/>
            </w:tcMar>
            <w:vAlign w:val="center"/>
          </w:tcPr>
          <w:p w14:paraId="6133529D">
            <w:pPr>
              <w:ind w:left="105" w:leftChars="50"/>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独立核算机构数</w:t>
            </w:r>
          </w:p>
        </w:tc>
        <w:tc>
          <w:tcPr>
            <w:tcW w:w="1569" w:type="pct"/>
            <w:tcBorders>
              <w:tl2br w:val="nil"/>
              <w:tr2bl w:val="nil"/>
            </w:tcBorders>
            <w:shd w:val="clear" w:color="auto" w:fill="auto"/>
            <w:noWrap/>
            <w:tcMar>
              <w:top w:w="15" w:type="dxa"/>
              <w:left w:w="15" w:type="dxa"/>
              <w:right w:w="15" w:type="dxa"/>
            </w:tcMar>
            <w:vAlign w:val="center"/>
          </w:tcPr>
          <w:p w14:paraId="158DED92">
            <w:pPr>
              <w:ind w:right="105" w:rightChars="50"/>
              <w:jc w:val="righ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w:t>
            </w:r>
          </w:p>
        </w:tc>
      </w:tr>
      <w:tr w14:paraId="1F1C7E91">
        <w:tblPrEx>
          <w:tblBorders>
            <w:top w:val="single"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54" w:hRule="atLeast"/>
        </w:trPr>
        <w:tc>
          <w:tcPr>
            <w:tcW w:w="1022" w:type="pct"/>
            <w:tcBorders>
              <w:tl2br w:val="nil"/>
              <w:tr2bl w:val="nil"/>
            </w:tcBorders>
            <w:shd w:val="clear" w:color="auto" w:fill="auto"/>
            <w:noWrap/>
            <w:tcMar>
              <w:top w:w="15" w:type="dxa"/>
              <w:left w:w="15" w:type="dxa"/>
              <w:right w:w="15" w:type="dxa"/>
            </w:tcMar>
            <w:vAlign w:val="center"/>
          </w:tcPr>
          <w:p w14:paraId="6EFF0705">
            <w:pPr>
              <w:ind w:right="105" w:rightChars="50"/>
              <w:jc w:val="center"/>
              <w:textAlignment w:val="center"/>
              <w:rPr>
                <w:rFonts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三</w:t>
            </w:r>
          </w:p>
        </w:tc>
        <w:tc>
          <w:tcPr>
            <w:tcW w:w="2407" w:type="pct"/>
            <w:tcBorders>
              <w:tl2br w:val="nil"/>
              <w:tr2bl w:val="nil"/>
            </w:tcBorders>
            <w:shd w:val="clear" w:color="auto" w:fill="auto"/>
            <w:noWrap/>
            <w:tcMar>
              <w:top w:w="15" w:type="dxa"/>
              <w:left w:w="15" w:type="dxa"/>
              <w:right w:w="15" w:type="dxa"/>
            </w:tcMar>
            <w:vAlign w:val="center"/>
          </w:tcPr>
          <w:p w14:paraId="68D8F41E">
            <w:pPr>
              <w:ind w:left="105" w:leftChars="50"/>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年末实有人数</w:t>
            </w:r>
          </w:p>
        </w:tc>
        <w:tc>
          <w:tcPr>
            <w:tcW w:w="1569" w:type="pct"/>
            <w:tcBorders>
              <w:tl2br w:val="nil"/>
              <w:tr2bl w:val="nil"/>
            </w:tcBorders>
            <w:shd w:val="clear" w:color="auto" w:fill="auto"/>
            <w:noWrap/>
            <w:tcMar>
              <w:top w:w="15" w:type="dxa"/>
              <w:left w:w="15" w:type="dxa"/>
              <w:right w:w="15" w:type="dxa"/>
            </w:tcMar>
            <w:vAlign w:val="center"/>
          </w:tcPr>
          <w:p w14:paraId="1534C577">
            <w:pPr>
              <w:ind w:right="105" w:rightChars="50"/>
              <w:jc w:val="right"/>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277</w:t>
            </w:r>
          </w:p>
        </w:tc>
      </w:tr>
      <w:tr w14:paraId="1C1DB5C5">
        <w:tblPrEx>
          <w:tblBorders>
            <w:top w:val="single"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54" w:hRule="atLeast"/>
        </w:trPr>
        <w:tc>
          <w:tcPr>
            <w:tcW w:w="1022" w:type="pct"/>
            <w:tcBorders>
              <w:tl2br w:val="nil"/>
              <w:tr2bl w:val="nil"/>
            </w:tcBorders>
            <w:shd w:val="clear" w:color="auto" w:fill="auto"/>
            <w:noWrap/>
            <w:tcMar>
              <w:top w:w="15" w:type="dxa"/>
              <w:left w:w="15" w:type="dxa"/>
              <w:right w:w="15" w:type="dxa"/>
            </w:tcMar>
            <w:vAlign w:val="center"/>
          </w:tcPr>
          <w:p w14:paraId="4B6E6B51">
            <w:pPr>
              <w:ind w:right="105" w:rightChars="50"/>
              <w:jc w:val="center"/>
              <w:textAlignment w:val="center"/>
              <w:rPr>
                <w:rFonts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（一）</w:t>
            </w:r>
          </w:p>
        </w:tc>
        <w:tc>
          <w:tcPr>
            <w:tcW w:w="2407" w:type="pct"/>
            <w:tcBorders>
              <w:tl2br w:val="nil"/>
              <w:tr2bl w:val="nil"/>
            </w:tcBorders>
            <w:shd w:val="clear" w:color="auto" w:fill="auto"/>
            <w:noWrap/>
            <w:tcMar>
              <w:top w:w="15" w:type="dxa"/>
              <w:left w:w="15" w:type="dxa"/>
              <w:right w:w="15" w:type="dxa"/>
            </w:tcMar>
            <w:vAlign w:val="center"/>
          </w:tcPr>
          <w:p w14:paraId="545B188E">
            <w:pPr>
              <w:ind w:left="105" w:leftChars="50"/>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在职人员</w:t>
            </w:r>
          </w:p>
        </w:tc>
        <w:tc>
          <w:tcPr>
            <w:tcW w:w="1569" w:type="pct"/>
            <w:tcBorders>
              <w:tl2br w:val="nil"/>
              <w:tr2bl w:val="nil"/>
            </w:tcBorders>
            <w:shd w:val="clear" w:color="auto" w:fill="auto"/>
            <w:noWrap/>
            <w:tcMar>
              <w:top w:w="15" w:type="dxa"/>
              <w:left w:w="15" w:type="dxa"/>
              <w:right w:w="15" w:type="dxa"/>
            </w:tcMar>
            <w:vAlign w:val="center"/>
          </w:tcPr>
          <w:p w14:paraId="6E45C9D8">
            <w:pPr>
              <w:ind w:right="105" w:rightChars="50"/>
              <w:jc w:val="right"/>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37</w:t>
            </w:r>
          </w:p>
        </w:tc>
      </w:tr>
      <w:tr w14:paraId="7E534CF3">
        <w:tblPrEx>
          <w:tblBorders>
            <w:top w:val="single"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54" w:hRule="atLeast"/>
        </w:trPr>
        <w:tc>
          <w:tcPr>
            <w:tcW w:w="1022" w:type="pct"/>
            <w:tcBorders>
              <w:tl2br w:val="nil"/>
              <w:tr2bl w:val="nil"/>
            </w:tcBorders>
            <w:shd w:val="clear" w:color="auto" w:fill="auto"/>
            <w:noWrap/>
            <w:tcMar>
              <w:top w:w="15" w:type="dxa"/>
              <w:left w:w="15" w:type="dxa"/>
              <w:right w:w="15" w:type="dxa"/>
            </w:tcMar>
            <w:vAlign w:val="center"/>
          </w:tcPr>
          <w:p w14:paraId="2CB6A568">
            <w:pPr>
              <w:ind w:right="105" w:rightChars="50"/>
              <w:jc w:val="center"/>
              <w:textAlignment w:val="center"/>
              <w:rPr>
                <w:rFonts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1</w:t>
            </w:r>
          </w:p>
        </w:tc>
        <w:tc>
          <w:tcPr>
            <w:tcW w:w="2407" w:type="pct"/>
            <w:tcBorders>
              <w:tl2br w:val="nil"/>
              <w:tr2bl w:val="nil"/>
            </w:tcBorders>
            <w:shd w:val="clear" w:color="auto" w:fill="auto"/>
            <w:noWrap/>
            <w:tcMar>
              <w:top w:w="15" w:type="dxa"/>
              <w:left w:w="15" w:type="dxa"/>
              <w:right w:w="15" w:type="dxa"/>
            </w:tcMar>
            <w:vAlign w:val="center"/>
          </w:tcPr>
          <w:p w14:paraId="617E4F95">
            <w:pPr>
              <w:ind w:left="105" w:leftChars="50"/>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其中：行政人员</w:t>
            </w:r>
          </w:p>
        </w:tc>
        <w:tc>
          <w:tcPr>
            <w:tcW w:w="1569" w:type="pct"/>
            <w:tcBorders>
              <w:tl2br w:val="nil"/>
              <w:tr2bl w:val="nil"/>
            </w:tcBorders>
            <w:shd w:val="clear" w:color="auto" w:fill="auto"/>
            <w:noWrap/>
            <w:tcMar>
              <w:top w:w="15" w:type="dxa"/>
              <w:left w:w="15" w:type="dxa"/>
              <w:right w:w="15" w:type="dxa"/>
            </w:tcMar>
            <w:vAlign w:val="center"/>
          </w:tcPr>
          <w:p w14:paraId="04251248">
            <w:pPr>
              <w:ind w:right="105" w:rightChars="50"/>
              <w:jc w:val="right"/>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37</w:t>
            </w:r>
          </w:p>
        </w:tc>
      </w:tr>
      <w:tr w14:paraId="26DC4B85">
        <w:tblPrEx>
          <w:tblBorders>
            <w:top w:val="single"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54" w:hRule="atLeast"/>
        </w:trPr>
        <w:tc>
          <w:tcPr>
            <w:tcW w:w="1022" w:type="pct"/>
            <w:tcBorders>
              <w:tl2br w:val="nil"/>
              <w:tr2bl w:val="nil"/>
            </w:tcBorders>
            <w:shd w:val="clear" w:color="auto" w:fill="auto"/>
            <w:noWrap/>
            <w:tcMar>
              <w:top w:w="15" w:type="dxa"/>
              <w:left w:w="15" w:type="dxa"/>
              <w:right w:w="15" w:type="dxa"/>
            </w:tcMar>
            <w:vAlign w:val="center"/>
          </w:tcPr>
          <w:p w14:paraId="796D6EF1">
            <w:pPr>
              <w:ind w:right="105" w:rightChars="50"/>
              <w:jc w:val="center"/>
              <w:textAlignment w:val="center"/>
              <w:rPr>
                <w:rFonts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（二）</w:t>
            </w:r>
          </w:p>
        </w:tc>
        <w:tc>
          <w:tcPr>
            <w:tcW w:w="2407" w:type="pct"/>
            <w:tcBorders>
              <w:tl2br w:val="nil"/>
              <w:tr2bl w:val="nil"/>
            </w:tcBorders>
            <w:shd w:val="clear" w:color="auto" w:fill="auto"/>
            <w:noWrap/>
            <w:tcMar>
              <w:top w:w="15" w:type="dxa"/>
              <w:left w:w="15" w:type="dxa"/>
              <w:right w:w="15" w:type="dxa"/>
            </w:tcMar>
            <w:vAlign w:val="center"/>
          </w:tcPr>
          <w:p w14:paraId="2A0DD0F7">
            <w:pPr>
              <w:ind w:left="105" w:leftChars="50"/>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离</w:t>
            </w:r>
            <w:r>
              <w:rPr>
                <w:rFonts w:hint="eastAsia" w:ascii="仿宋_GB2312" w:hAnsi="仿宋_GB2312" w:eastAsia="仿宋_GB2312" w:cs="仿宋_GB2312"/>
                <w:color w:val="000000"/>
                <w:sz w:val="24"/>
                <w:szCs w:val="24"/>
                <w:lang w:eastAsia="zh-CN" w:bidi="ar"/>
              </w:rPr>
              <w:t>退</w:t>
            </w:r>
            <w:r>
              <w:rPr>
                <w:rFonts w:hint="eastAsia" w:ascii="仿宋_GB2312" w:hAnsi="仿宋_GB2312" w:eastAsia="仿宋_GB2312" w:cs="仿宋_GB2312"/>
                <w:color w:val="000000"/>
                <w:sz w:val="24"/>
                <w:szCs w:val="24"/>
                <w:lang w:bidi="ar"/>
              </w:rPr>
              <w:t>休人员</w:t>
            </w:r>
          </w:p>
        </w:tc>
        <w:tc>
          <w:tcPr>
            <w:tcW w:w="1569" w:type="pct"/>
            <w:tcBorders>
              <w:tl2br w:val="nil"/>
              <w:tr2bl w:val="nil"/>
            </w:tcBorders>
            <w:shd w:val="clear" w:color="auto" w:fill="auto"/>
            <w:noWrap/>
            <w:tcMar>
              <w:top w:w="15" w:type="dxa"/>
              <w:left w:w="15" w:type="dxa"/>
              <w:right w:w="15" w:type="dxa"/>
            </w:tcMar>
            <w:vAlign w:val="center"/>
          </w:tcPr>
          <w:p w14:paraId="66A0B6BD">
            <w:pPr>
              <w:ind w:right="105" w:rightChars="50"/>
              <w:jc w:val="right"/>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138</w:t>
            </w:r>
          </w:p>
        </w:tc>
      </w:tr>
      <w:tr w14:paraId="76D15773">
        <w:tblPrEx>
          <w:tblBorders>
            <w:top w:val="single" w:color="000000" w:sz="4" w:space="0"/>
            <w:left w:val="none" w:color="auto" w:sz="0" w:space="0"/>
            <w:bottom w:val="sing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54" w:hRule="atLeast"/>
        </w:trPr>
        <w:tc>
          <w:tcPr>
            <w:tcW w:w="1022" w:type="pct"/>
            <w:tcBorders>
              <w:tl2br w:val="nil"/>
              <w:tr2bl w:val="nil"/>
            </w:tcBorders>
            <w:shd w:val="clear" w:color="auto" w:fill="auto"/>
            <w:noWrap/>
            <w:tcMar>
              <w:top w:w="15" w:type="dxa"/>
              <w:left w:w="15" w:type="dxa"/>
              <w:right w:w="15" w:type="dxa"/>
            </w:tcMar>
            <w:vAlign w:val="center"/>
          </w:tcPr>
          <w:p w14:paraId="5D3C7988">
            <w:pPr>
              <w:ind w:right="105" w:rightChars="50"/>
              <w:jc w:val="center"/>
              <w:textAlignment w:val="center"/>
              <w:rPr>
                <w:rFonts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四</w:t>
            </w:r>
          </w:p>
        </w:tc>
        <w:tc>
          <w:tcPr>
            <w:tcW w:w="2407" w:type="pct"/>
            <w:tcBorders>
              <w:tl2br w:val="nil"/>
              <w:tr2bl w:val="nil"/>
            </w:tcBorders>
            <w:shd w:val="clear" w:color="auto" w:fill="auto"/>
            <w:noWrap/>
            <w:tcMar>
              <w:top w:w="15" w:type="dxa"/>
              <w:left w:w="15" w:type="dxa"/>
              <w:right w:w="15" w:type="dxa"/>
            </w:tcMar>
            <w:vAlign w:val="center"/>
          </w:tcPr>
          <w:p w14:paraId="0F20BD69">
            <w:pPr>
              <w:ind w:left="105" w:leftChars="50"/>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年末其他人员数</w:t>
            </w:r>
          </w:p>
        </w:tc>
        <w:tc>
          <w:tcPr>
            <w:tcW w:w="1569" w:type="pct"/>
            <w:tcBorders>
              <w:tl2br w:val="nil"/>
              <w:tr2bl w:val="nil"/>
            </w:tcBorders>
            <w:shd w:val="clear" w:color="auto" w:fill="auto"/>
            <w:noWrap/>
            <w:tcMar>
              <w:top w:w="15" w:type="dxa"/>
              <w:left w:w="15" w:type="dxa"/>
              <w:right w:w="15" w:type="dxa"/>
            </w:tcMar>
            <w:vAlign w:val="center"/>
          </w:tcPr>
          <w:p w14:paraId="58E0BB31">
            <w:pPr>
              <w:ind w:right="105" w:rightChars="50"/>
              <w:jc w:val="righ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r>
    </w:tbl>
    <w:p w14:paraId="301F0E4B">
      <w:pPr>
        <w:spacing w:line="600" w:lineRule="exact"/>
        <w:ind w:firstLine="640" w:firstLineChars="200"/>
        <w:rPr>
          <w:rFonts w:hint="eastAsia" w:ascii="仿宋_GB2312" w:eastAsia="仿宋_GB2312"/>
          <w:sz w:val="32"/>
          <w:szCs w:val="32"/>
        </w:rPr>
      </w:pPr>
      <w:bookmarkStart w:id="5" w:name="_Toc24624022"/>
    </w:p>
    <w:p w14:paraId="7CA14D7D">
      <w:pPr>
        <w:spacing w:line="600" w:lineRule="exact"/>
        <w:ind w:firstLine="640" w:firstLineChars="200"/>
        <w:rPr>
          <w:rFonts w:ascii="仿宋_GB2312" w:eastAsia="仿宋_GB2312"/>
          <w:sz w:val="32"/>
          <w:szCs w:val="32"/>
        </w:rPr>
      </w:pPr>
      <w:r>
        <w:rPr>
          <w:rFonts w:hint="eastAsia" w:ascii="仿宋_GB2312" w:eastAsia="仿宋_GB2312"/>
          <w:sz w:val="32"/>
          <w:szCs w:val="32"/>
        </w:rPr>
        <w:t>6.资产情况</w:t>
      </w:r>
    </w:p>
    <w:p w14:paraId="26A41093">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市卫健委202</w:t>
      </w:r>
      <w:r>
        <w:rPr>
          <w:rFonts w:hint="eastAsia" w:ascii="仿宋_GB2312" w:eastAsia="仿宋_GB2312"/>
          <w:sz w:val="32"/>
          <w:szCs w:val="32"/>
          <w:lang w:val="en-US" w:eastAsia="zh-CN"/>
        </w:rPr>
        <w:t>3</w:t>
      </w:r>
      <w:r>
        <w:rPr>
          <w:rFonts w:hint="eastAsia" w:ascii="仿宋_GB2312" w:eastAsia="仿宋_GB2312"/>
          <w:sz w:val="32"/>
          <w:szCs w:val="32"/>
        </w:rPr>
        <w:t>年末固定资产账面原值11345.29万元，累计折旧</w:t>
      </w:r>
      <w:r>
        <w:rPr>
          <w:rFonts w:hint="eastAsia" w:ascii="仿宋_GB2312" w:eastAsia="仿宋_GB2312"/>
          <w:sz w:val="32"/>
          <w:szCs w:val="32"/>
          <w:lang w:val="en-US" w:eastAsia="zh-CN"/>
        </w:rPr>
        <w:t>3709.25</w:t>
      </w:r>
      <w:r>
        <w:rPr>
          <w:rFonts w:hint="eastAsia" w:ascii="仿宋_GB2312" w:eastAsia="仿宋_GB2312"/>
          <w:sz w:val="32"/>
          <w:szCs w:val="32"/>
        </w:rPr>
        <w:t>万元，固定资产净值7636.04万元，具体分项情况详见下表：</w:t>
      </w:r>
    </w:p>
    <w:p w14:paraId="59A24B0E">
      <w:pPr>
        <w:pStyle w:val="4"/>
        <w:rPr>
          <w:rFonts w:hint="eastAsia" w:ascii="仿宋_GB2312" w:eastAsia="仿宋_GB2312"/>
          <w:sz w:val="32"/>
          <w:szCs w:val="32"/>
        </w:rPr>
      </w:pPr>
    </w:p>
    <w:p w14:paraId="01849DB1">
      <w:pPr>
        <w:pStyle w:val="4"/>
        <w:rPr>
          <w:rFonts w:hint="eastAsia" w:ascii="仿宋_GB2312" w:eastAsia="仿宋_GB2312"/>
          <w:sz w:val="32"/>
          <w:szCs w:val="32"/>
        </w:rPr>
      </w:pPr>
    </w:p>
    <w:p w14:paraId="292FE569">
      <w:pPr>
        <w:spacing w:line="600" w:lineRule="exact"/>
        <w:ind w:firstLine="640" w:firstLineChars="200"/>
        <w:rPr>
          <w:rFonts w:ascii="仿宋_GB2312" w:eastAsia="仿宋_GB2312"/>
          <w:sz w:val="32"/>
          <w:szCs w:val="32"/>
        </w:rPr>
      </w:pPr>
    </w:p>
    <w:p w14:paraId="3963FCFD">
      <w:pPr>
        <w:pStyle w:val="14"/>
        <w:rPr>
          <w:rFonts w:ascii="仿宋_GB2312" w:hAnsi="仿宋_GB2312" w:cs="仿宋_GB2312"/>
        </w:rPr>
      </w:pPr>
      <w:r>
        <w:rPr>
          <w:rFonts w:hint="eastAsia" w:ascii="仿宋_GB2312" w:hAnsi="仿宋_GB2312" w:cs="仿宋_GB2312"/>
        </w:rPr>
        <w:t>市卫健委</w:t>
      </w:r>
      <w:r>
        <w:rPr>
          <w:rFonts w:hint="eastAsia" w:ascii="仿宋_GB2312" w:hAnsi="仿宋_GB2312" w:cs="仿宋_GB2312"/>
          <w:lang w:eastAsia="zh-CN"/>
        </w:rPr>
        <w:t>固定资产</w:t>
      </w:r>
      <w:r>
        <w:rPr>
          <w:rFonts w:hint="eastAsia" w:ascii="仿宋_GB2312" w:hAnsi="仿宋_GB2312" w:cs="仿宋_GB2312"/>
        </w:rPr>
        <w:t>情况表</w:t>
      </w:r>
    </w:p>
    <w:p w14:paraId="6902BC75">
      <w:pPr>
        <w:pStyle w:val="14"/>
        <w:jc w:val="right"/>
      </w:pPr>
      <w:r>
        <w:rPr>
          <w:rFonts w:hint="eastAsia" w:ascii="仿宋_GB2312" w:hAnsi="仿宋_GB2312" w:cs="仿宋_GB2312"/>
        </w:rPr>
        <w:t>单位：万元</w:t>
      </w:r>
    </w:p>
    <w:tbl>
      <w:tblPr>
        <w:tblStyle w:val="9"/>
        <w:tblW w:w="4998" w:type="pct"/>
        <w:tblInd w:w="0" w:type="dxa"/>
        <w:tblBorders>
          <w:top w:val="single" w:color="000000" w:sz="8" w:space="0"/>
          <w:left w:val="none" w:color="auto" w:sz="0" w:space="0"/>
          <w:bottom w:val="single" w:color="000000" w:sz="4" w:space="0"/>
          <w:right w:val="none" w:color="auto" w:sz="0" w:space="0"/>
          <w:insideH w:val="dotted" w:color="000000" w:sz="4" w:space="0"/>
          <w:insideV w:val="dotted" w:color="000000" w:sz="4" w:space="0"/>
        </w:tblBorders>
        <w:tblLayout w:type="autofit"/>
        <w:tblCellMar>
          <w:top w:w="0" w:type="dxa"/>
          <w:left w:w="108" w:type="dxa"/>
          <w:bottom w:w="0" w:type="dxa"/>
          <w:right w:w="108" w:type="dxa"/>
        </w:tblCellMar>
      </w:tblPr>
      <w:tblGrid>
        <w:gridCol w:w="562"/>
        <w:gridCol w:w="3242"/>
        <w:gridCol w:w="1571"/>
        <w:gridCol w:w="1571"/>
        <w:gridCol w:w="1573"/>
      </w:tblGrid>
      <w:tr w14:paraId="2AF3FF64">
        <w:tblPrEx>
          <w:tblBorders>
            <w:top w:val="single" w:color="000000" w:sz="8"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454" w:hRule="atLeast"/>
        </w:trPr>
        <w:tc>
          <w:tcPr>
            <w:tcW w:w="329" w:type="pct"/>
            <w:vMerge w:val="restart"/>
            <w:tcBorders>
              <w:tl2br w:val="nil"/>
              <w:tr2bl w:val="nil"/>
            </w:tcBorders>
            <w:shd w:val="clear" w:color="auto" w:fill="FFFFFF"/>
            <w:vAlign w:val="center"/>
          </w:tcPr>
          <w:p w14:paraId="07A68E87">
            <w:pPr>
              <w:ind w:left="105" w:leftChars="50"/>
              <w:jc w:val="center"/>
              <w:textAlignment w:val="center"/>
              <w:rPr>
                <w:rFonts w:ascii="仿宋_GB2312" w:hAnsi="仿宋_GB2312" w:eastAsia="仿宋_GB2312" w:cs="仿宋_GB2312"/>
                <w:b/>
                <w:bCs/>
                <w:color w:val="000000"/>
                <w:sz w:val="24"/>
                <w:szCs w:val="24"/>
                <w:lang w:bidi="ar"/>
              </w:rPr>
            </w:pPr>
            <w:r>
              <w:rPr>
                <w:rFonts w:hint="eastAsia" w:ascii="仿宋_GB2312" w:hAnsi="仿宋_GB2312" w:eastAsia="仿宋_GB2312" w:cs="仿宋_GB2312"/>
                <w:b/>
                <w:bCs/>
                <w:color w:val="000000"/>
                <w:sz w:val="24"/>
                <w:szCs w:val="24"/>
                <w:lang w:bidi="ar"/>
              </w:rPr>
              <w:t>序号</w:t>
            </w:r>
          </w:p>
        </w:tc>
        <w:tc>
          <w:tcPr>
            <w:tcW w:w="1902" w:type="pct"/>
            <w:vMerge w:val="restart"/>
            <w:tcBorders>
              <w:tl2br w:val="nil"/>
              <w:tr2bl w:val="nil"/>
            </w:tcBorders>
            <w:shd w:val="clear" w:color="auto" w:fill="FFFFFF"/>
            <w:vAlign w:val="center"/>
          </w:tcPr>
          <w:p w14:paraId="3FAD1065">
            <w:pPr>
              <w:ind w:left="105" w:leftChars="50"/>
              <w:jc w:val="center"/>
              <w:textAlignment w:val="center"/>
              <w:rPr>
                <w:rFonts w:ascii="仿宋_GB2312" w:hAnsi="仿宋_GB2312" w:eastAsia="仿宋_GB2312" w:cs="仿宋_GB2312"/>
                <w:b/>
                <w:bCs/>
                <w:color w:val="000000"/>
                <w:sz w:val="24"/>
                <w:szCs w:val="24"/>
                <w:lang w:bidi="ar"/>
              </w:rPr>
            </w:pPr>
            <w:r>
              <w:rPr>
                <w:rFonts w:hint="eastAsia" w:ascii="仿宋_GB2312" w:hAnsi="仿宋_GB2312" w:eastAsia="仿宋_GB2312" w:cs="仿宋_GB2312"/>
                <w:b/>
                <w:bCs/>
                <w:color w:val="000000"/>
                <w:sz w:val="24"/>
                <w:szCs w:val="24"/>
                <w:lang w:bidi="ar"/>
              </w:rPr>
              <w:t>资产类别</w:t>
            </w:r>
          </w:p>
        </w:tc>
        <w:tc>
          <w:tcPr>
            <w:tcW w:w="2767" w:type="pct"/>
            <w:gridSpan w:val="3"/>
            <w:tcBorders>
              <w:tl2br w:val="nil"/>
              <w:tr2bl w:val="nil"/>
            </w:tcBorders>
            <w:shd w:val="clear" w:color="auto" w:fill="FFFFFF"/>
            <w:vAlign w:val="center"/>
          </w:tcPr>
          <w:p w14:paraId="3E1C87F5">
            <w:pPr>
              <w:ind w:left="105" w:leftChars="50"/>
              <w:jc w:val="center"/>
              <w:textAlignment w:val="center"/>
              <w:rPr>
                <w:rFonts w:ascii="仿宋_GB2312" w:hAnsi="仿宋_GB2312" w:eastAsia="仿宋_GB2312" w:cs="仿宋_GB2312"/>
                <w:b/>
                <w:bCs/>
                <w:color w:val="000000"/>
                <w:sz w:val="24"/>
                <w:szCs w:val="24"/>
                <w:lang w:bidi="ar"/>
              </w:rPr>
            </w:pPr>
            <w:r>
              <w:rPr>
                <w:rFonts w:hint="eastAsia" w:ascii="仿宋_GB2312" w:hAnsi="仿宋_GB2312" w:eastAsia="仿宋_GB2312" w:cs="仿宋_GB2312"/>
                <w:b/>
                <w:bCs/>
                <w:color w:val="000000"/>
                <w:sz w:val="24"/>
                <w:szCs w:val="24"/>
                <w:lang w:bidi="ar"/>
              </w:rPr>
              <w:t>期末账面数</w:t>
            </w:r>
          </w:p>
        </w:tc>
      </w:tr>
      <w:tr w14:paraId="7E738A7D">
        <w:tblPrEx>
          <w:tblBorders>
            <w:top w:val="single" w:color="000000" w:sz="8"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454" w:hRule="atLeast"/>
        </w:trPr>
        <w:tc>
          <w:tcPr>
            <w:tcW w:w="329" w:type="pct"/>
            <w:vMerge w:val="continue"/>
            <w:tcBorders>
              <w:tl2br w:val="nil"/>
              <w:tr2bl w:val="nil"/>
            </w:tcBorders>
            <w:shd w:val="clear" w:color="auto" w:fill="FFFFFF"/>
            <w:vAlign w:val="center"/>
          </w:tcPr>
          <w:p w14:paraId="747E0995">
            <w:pPr>
              <w:jc w:val="center"/>
              <w:rPr>
                <w:rFonts w:ascii="仿宋_GB2312" w:hAnsi="仿宋_GB2312" w:eastAsia="仿宋_GB2312" w:cs="仿宋_GB2312"/>
                <w:b/>
                <w:bCs/>
                <w:color w:val="000000"/>
                <w:sz w:val="24"/>
                <w:szCs w:val="24"/>
                <w:lang w:bidi="ar"/>
              </w:rPr>
            </w:pPr>
          </w:p>
        </w:tc>
        <w:tc>
          <w:tcPr>
            <w:tcW w:w="1902" w:type="pct"/>
            <w:vMerge w:val="continue"/>
            <w:tcBorders>
              <w:tl2br w:val="nil"/>
              <w:tr2bl w:val="nil"/>
            </w:tcBorders>
            <w:shd w:val="clear" w:color="auto" w:fill="FFFFFF"/>
            <w:vAlign w:val="center"/>
          </w:tcPr>
          <w:p w14:paraId="615ED37D">
            <w:pPr>
              <w:jc w:val="center"/>
              <w:rPr>
                <w:rFonts w:ascii="仿宋_GB2312" w:hAnsi="仿宋_GB2312" w:eastAsia="仿宋_GB2312" w:cs="仿宋_GB2312"/>
                <w:b/>
                <w:bCs/>
                <w:color w:val="000000"/>
                <w:sz w:val="24"/>
                <w:szCs w:val="24"/>
                <w:lang w:bidi="ar"/>
              </w:rPr>
            </w:pPr>
          </w:p>
        </w:tc>
        <w:tc>
          <w:tcPr>
            <w:tcW w:w="922" w:type="pct"/>
            <w:tcBorders>
              <w:tl2br w:val="nil"/>
              <w:tr2bl w:val="nil"/>
            </w:tcBorders>
            <w:shd w:val="clear" w:color="auto" w:fill="FFFFFF"/>
            <w:vAlign w:val="center"/>
          </w:tcPr>
          <w:p w14:paraId="695E4B82">
            <w:pPr>
              <w:jc w:val="center"/>
              <w:textAlignment w:val="center"/>
              <w:rPr>
                <w:rFonts w:ascii="仿宋_GB2312" w:hAnsi="仿宋_GB2312" w:eastAsia="仿宋_GB2312" w:cs="仿宋_GB2312"/>
                <w:b/>
                <w:bCs/>
                <w:color w:val="000000"/>
                <w:sz w:val="24"/>
                <w:szCs w:val="24"/>
                <w:lang w:bidi="ar"/>
              </w:rPr>
            </w:pPr>
            <w:r>
              <w:rPr>
                <w:rFonts w:hint="eastAsia" w:ascii="仿宋_GB2312" w:hAnsi="仿宋_GB2312" w:eastAsia="仿宋_GB2312" w:cs="仿宋_GB2312"/>
                <w:b/>
                <w:bCs/>
                <w:color w:val="000000"/>
                <w:sz w:val="24"/>
                <w:szCs w:val="24"/>
                <w:lang w:bidi="ar"/>
              </w:rPr>
              <w:t>原值</w:t>
            </w:r>
          </w:p>
        </w:tc>
        <w:tc>
          <w:tcPr>
            <w:tcW w:w="922" w:type="pct"/>
            <w:tcBorders>
              <w:tl2br w:val="nil"/>
              <w:tr2bl w:val="nil"/>
            </w:tcBorders>
            <w:shd w:val="clear" w:color="auto" w:fill="FFFFFF"/>
            <w:vAlign w:val="center"/>
          </w:tcPr>
          <w:p w14:paraId="1CA34DA1">
            <w:pPr>
              <w:jc w:val="center"/>
              <w:textAlignment w:val="center"/>
              <w:rPr>
                <w:rFonts w:ascii="仿宋_GB2312" w:hAnsi="仿宋_GB2312" w:eastAsia="仿宋_GB2312" w:cs="仿宋_GB2312"/>
                <w:b/>
                <w:bCs/>
                <w:color w:val="000000"/>
                <w:sz w:val="24"/>
                <w:szCs w:val="24"/>
                <w:lang w:bidi="ar"/>
              </w:rPr>
            </w:pPr>
            <w:r>
              <w:rPr>
                <w:rFonts w:hint="eastAsia" w:ascii="仿宋_GB2312" w:hAnsi="仿宋_GB2312" w:eastAsia="仿宋_GB2312" w:cs="仿宋_GB2312"/>
                <w:b/>
                <w:bCs/>
                <w:color w:val="000000"/>
                <w:sz w:val="24"/>
                <w:szCs w:val="24"/>
                <w:lang w:bidi="ar"/>
              </w:rPr>
              <w:t>累计折旧</w:t>
            </w:r>
          </w:p>
        </w:tc>
        <w:tc>
          <w:tcPr>
            <w:tcW w:w="923" w:type="pct"/>
            <w:tcBorders>
              <w:tl2br w:val="nil"/>
              <w:tr2bl w:val="nil"/>
            </w:tcBorders>
            <w:shd w:val="clear" w:color="auto" w:fill="FFFFFF"/>
            <w:vAlign w:val="center"/>
          </w:tcPr>
          <w:p w14:paraId="2CEFAA5C">
            <w:pPr>
              <w:jc w:val="center"/>
              <w:textAlignment w:val="center"/>
              <w:rPr>
                <w:rFonts w:ascii="仿宋_GB2312" w:hAnsi="仿宋_GB2312" w:eastAsia="仿宋_GB2312" w:cs="仿宋_GB2312"/>
                <w:b/>
                <w:bCs/>
                <w:color w:val="000000"/>
                <w:sz w:val="24"/>
                <w:szCs w:val="24"/>
                <w:lang w:bidi="ar"/>
              </w:rPr>
            </w:pPr>
            <w:r>
              <w:rPr>
                <w:rFonts w:hint="eastAsia" w:ascii="仿宋_GB2312" w:hAnsi="仿宋_GB2312" w:eastAsia="仿宋_GB2312" w:cs="仿宋_GB2312"/>
                <w:b/>
                <w:bCs/>
                <w:color w:val="000000"/>
                <w:sz w:val="24"/>
                <w:szCs w:val="24"/>
                <w:lang w:bidi="ar"/>
              </w:rPr>
              <w:t>净值</w:t>
            </w:r>
          </w:p>
        </w:tc>
      </w:tr>
      <w:tr w14:paraId="042D1546">
        <w:tblPrEx>
          <w:tblBorders>
            <w:top w:val="single" w:color="000000" w:sz="8"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454" w:hRule="atLeast"/>
        </w:trPr>
        <w:tc>
          <w:tcPr>
            <w:tcW w:w="329" w:type="pct"/>
            <w:tcBorders>
              <w:tl2br w:val="nil"/>
              <w:tr2bl w:val="nil"/>
            </w:tcBorders>
            <w:shd w:val="clear" w:color="auto" w:fill="FFFFFF"/>
            <w:vAlign w:val="center"/>
          </w:tcPr>
          <w:p w14:paraId="3970173E">
            <w:pPr>
              <w:ind w:left="105" w:leftChars="50"/>
              <w:jc w:val="left"/>
              <w:textAlignment w:val="center"/>
              <w:rPr>
                <w:rFonts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1</w:t>
            </w:r>
          </w:p>
        </w:tc>
        <w:tc>
          <w:tcPr>
            <w:tcW w:w="1902" w:type="pct"/>
            <w:tcBorders>
              <w:tl2br w:val="nil"/>
              <w:tr2bl w:val="nil"/>
            </w:tcBorders>
            <w:shd w:val="clear" w:color="auto" w:fill="FFFFFF"/>
            <w:vAlign w:val="center"/>
          </w:tcPr>
          <w:p w14:paraId="5D2E75F4">
            <w:pPr>
              <w:ind w:left="105" w:leftChars="50"/>
              <w:jc w:val="left"/>
              <w:textAlignment w:val="center"/>
              <w:rPr>
                <w:rFonts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土地、房屋及构筑物</w:t>
            </w:r>
          </w:p>
        </w:tc>
        <w:tc>
          <w:tcPr>
            <w:tcW w:w="922" w:type="pct"/>
            <w:tcBorders>
              <w:tl2br w:val="nil"/>
              <w:tr2bl w:val="nil"/>
            </w:tcBorders>
            <w:shd w:val="clear" w:color="auto" w:fill="FFFFFF"/>
            <w:noWrap/>
            <w:vAlign w:val="center"/>
          </w:tcPr>
          <w:p w14:paraId="4FB85026">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7198.91</w:t>
            </w:r>
          </w:p>
        </w:tc>
        <w:tc>
          <w:tcPr>
            <w:tcW w:w="922" w:type="pct"/>
            <w:tcBorders>
              <w:tl2br w:val="nil"/>
              <w:tr2bl w:val="nil"/>
            </w:tcBorders>
            <w:shd w:val="clear" w:color="auto" w:fill="FFFFFF"/>
            <w:noWrap/>
            <w:vAlign w:val="center"/>
          </w:tcPr>
          <w:p w14:paraId="2B3AC178">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2834.27</w:t>
            </w:r>
          </w:p>
        </w:tc>
        <w:tc>
          <w:tcPr>
            <w:tcW w:w="923" w:type="pct"/>
            <w:tcBorders>
              <w:tl2br w:val="nil"/>
              <w:tr2bl w:val="nil"/>
            </w:tcBorders>
            <w:shd w:val="clear" w:color="auto" w:fill="FFFFFF"/>
            <w:noWrap/>
            <w:vAlign w:val="center"/>
          </w:tcPr>
          <w:p w14:paraId="2443A319">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4364.64</w:t>
            </w:r>
          </w:p>
        </w:tc>
      </w:tr>
      <w:tr w14:paraId="1381CEA6">
        <w:tblPrEx>
          <w:tblBorders>
            <w:top w:val="single" w:color="000000" w:sz="8"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454" w:hRule="atLeast"/>
        </w:trPr>
        <w:tc>
          <w:tcPr>
            <w:tcW w:w="329" w:type="pct"/>
            <w:tcBorders>
              <w:tl2br w:val="nil"/>
              <w:tr2bl w:val="nil"/>
            </w:tcBorders>
            <w:shd w:val="clear" w:color="auto" w:fill="FFFFFF"/>
            <w:vAlign w:val="center"/>
          </w:tcPr>
          <w:p w14:paraId="3A74CD1A">
            <w:pPr>
              <w:ind w:left="105" w:leftChars="50"/>
              <w:jc w:val="left"/>
              <w:textAlignment w:val="center"/>
              <w:rPr>
                <w:rFonts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2</w:t>
            </w:r>
          </w:p>
        </w:tc>
        <w:tc>
          <w:tcPr>
            <w:tcW w:w="1902" w:type="pct"/>
            <w:tcBorders>
              <w:tl2br w:val="nil"/>
              <w:tr2bl w:val="nil"/>
            </w:tcBorders>
            <w:shd w:val="clear" w:color="auto" w:fill="FFFFFF"/>
            <w:vAlign w:val="center"/>
          </w:tcPr>
          <w:p w14:paraId="1FC04BFC">
            <w:pPr>
              <w:ind w:left="105" w:leftChars="50"/>
              <w:jc w:val="left"/>
              <w:textAlignment w:val="center"/>
              <w:rPr>
                <w:rFonts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设备</w:t>
            </w:r>
          </w:p>
        </w:tc>
        <w:tc>
          <w:tcPr>
            <w:tcW w:w="922" w:type="pct"/>
            <w:tcBorders>
              <w:tl2br w:val="nil"/>
              <w:tr2bl w:val="nil"/>
            </w:tcBorders>
            <w:shd w:val="clear" w:color="auto" w:fill="FFFFFF"/>
            <w:noWrap/>
            <w:vAlign w:val="center"/>
          </w:tcPr>
          <w:p w14:paraId="2889AED8">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5545.38</w:t>
            </w:r>
          </w:p>
        </w:tc>
        <w:tc>
          <w:tcPr>
            <w:tcW w:w="922" w:type="pct"/>
            <w:tcBorders>
              <w:tl2br w:val="nil"/>
              <w:tr2bl w:val="nil"/>
            </w:tcBorders>
            <w:shd w:val="clear" w:color="auto" w:fill="FFFFFF"/>
            <w:noWrap/>
            <w:vAlign w:val="center"/>
          </w:tcPr>
          <w:p w14:paraId="1C3248C6">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1808.33</w:t>
            </w:r>
          </w:p>
        </w:tc>
        <w:tc>
          <w:tcPr>
            <w:tcW w:w="923" w:type="pct"/>
            <w:tcBorders>
              <w:tl2br w:val="nil"/>
              <w:tr2bl w:val="nil"/>
            </w:tcBorders>
            <w:shd w:val="clear" w:color="auto" w:fill="FFFFFF"/>
            <w:noWrap/>
            <w:vAlign w:val="center"/>
          </w:tcPr>
          <w:p w14:paraId="5C59542F">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3737.04</w:t>
            </w:r>
          </w:p>
        </w:tc>
      </w:tr>
      <w:tr w14:paraId="019FFD75">
        <w:tblPrEx>
          <w:tblBorders>
            <w:top w:val="single" w:color="000000" w:sz="8"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454" w:hRule="atLeast"/>
        </w:trPr>
        <w:tc>
          <w:tcPr>
            <w:tcW w:w="329" w:type="pct"/>
            <w:tcBorders>
              <w:tl2br w:val="nil"/>
              <w:tr2bl w:val="nil"/>
            </w:tcBorders>
            <w:shd w:val="clear" w:color="auto" w:fill="FFFFFF"/>
            <w:vAlign w:val="center"/>
          </w:tcPr>
          <w:p w14:paraId="4EB410BE">
            <w:pPr>
              <w:ind w:left="105" w:leftChars="50"/>
              <w:jc w:val="left"/>
              <w:textAlignment w:val="center"/>
              <w:rPr>
                <w:rFonts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3</w:t>
            </w:r>
          </w:p>
        </w:tc>
        <w:tc>
          <w:tcPr>
            <w:tcW w:w="1902" w:type="pct"/>
            <w:tcBorders>
              <w:tl2br w:val="nil"/>
              <w:tr2bl w:val="nil"/>
            </w:tcBorders>
            <w:shd w:val="clear" w:color="auto" w:fill="FFFFFF"/>
            <w:vAlign w:val="center"/>
          </w:tcPr>
          <w:p w14:paraId="1E1222E3">
            <w:pPr>
              <w:ind w:left="105" w:leftChars="50"/>
              <w:jc w:val="left"/>
              <w:textAlignment w:val="center"/>
              <w:rPr>
                <w:rFonts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bidi="ar"/>
              </w:rPr>
              <w:t>家具、用具、装具及动植物</w:t>
            </w:r>
          </w:p>
        </w:tc>
        <w:tc>
          <w:tcPr>
            <w:tcW w:w="922" w:type="pct"/>
            <w:tcBorders>
              <w:tl2br w:val="nil"/>
              <w:tr2bl w:val="nil"/>
            </w:tcBorders>
            <w:shd w:val="clear" w:color="auto" w:fill="FFFFFF"/>
            <w:noWrap/>
            <w:vAlign w:val="center"/>
          </w:tcPr>
          <w:p w14:paraId="2B2968DF">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394.64</w:t>
            </w:r>
          </w:p>
        </w:tc>
        <w:tc>
          <w:tcPr>
            <w:tcW w:w="922" w:type="pct"/>
            <w:tcBorders>
              <w:tl2br w:val="nil"/>
              <w:tr2bl w:val="nil"/>
            </w:tcBorders>
            <w:shd w:val="clear" w:color="auto" w:fill="FFFFFF"/>
            <w:noWrap/>
            <w:vAlign w:val="center"/>
          </w:tcPr>
          <w:p w14:paraId="64C26B3F">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106.44</w:t>
            </w:r>
          </w:p>
        </w:tc>
        <w:tc>
          <w:tcPr>
            <w:tcW w:w="923" w:type="pct"/>
            <w:tcBorders>
              <w:tl2br w:val="nil"/>
              <w:tr2bl w:val="nil"/>
            </w:tcBorders>
            <w:shd w:val="clear" w:color="auto" w:fill="FFFFFF"/>
            <w:noWrap/>
            <w:vAlign w:val="center"/>
          </w:tcPr>
          <w:p w14:paraId="3CC50DBF">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288.2</w:t>
            </w:r>
          </w:p>
        </w:tc>
      </w:tr>
      <w:tr w14:paraId="4F6E7B60">
        <w:tblPrEx>
          <w:tblBorders>
            <w:top w:val="single" w:color="000000" w:sz="8" w:space="0"/>
            <w:left w:val="none" w:color="auto" w:sz="0" w:space="0"/>
            <w:bottom w:val="sing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454" w:hRule="atLeast"/>
        </w:trPr>
        <w:tc>
          <w:tcPr>
            <w:tcW w:w="2232" w:type="pct"/>
            <w:gridSpan w:val="2"/>
            <w:tcBorders>
              <w:tl2br w:val="nil"/>
              <w:tr2bl w:val="nil"/>
            </w:tcBorders>
            <w:shd w:val="clear" w:color="auto" w:fill="FFFFFF"/>
            <w:vAlign w:val="center"/>
          </w:tcPr>
          <w:p w14:paraId="1AB6C4B7">
            <w:pPr>
              <w:ind w:left="105" w:leftChars="50"/>
              <w:jc w:val="center"/>
              <w:textAlignment w:val="center"/>
              <w:rPr>
                <w:rFonts w:ascii="仿宋_GB2312" w:hAnsi="仿宋_GB2312" w:eastAsia="仿宋_GB2312" w:cs="仿宋_GB2312"/>
                <w:b/>
                <w:bCs/>
                <w:color w:val="000000"/>
                <w:sz w:val="24"/>
                <w:szCs w:val="24"/>
                <w:lang w:bidi="ar"/>
              </w:rPr>
            </w:pPr>
            <w:r>
              <w:rPr>
                <w:rFonts w:hint="eastAsia" w:ascii="仿宋_GB2312" w:hAnsi="仿宋_GB2312" w:eastAsia="仿宋_GB2312" w:cs="仿宋_GB2312"/>
                <w:b/>
                <w:bCs/>
                <w:color w:val="000000"/>
                <w:sz w:val="24"/>
                <w:szCs w:val="24"/>
                <w:lang w:bidi="ar"/>
              </w:rPr>
              <w:t>合  计</w:t>
            </w:r>
          </w:p>
        </w:tc>
        <w:tc>
          <w:tcPr>
            <w:tcW w:w="922" w:type="pct"/>
            <w:tcBorders>
              <w:tl2br w:val="nil"/>
              <w:tr2bl w:val="nil"/>
            </w:tcBorders>
            <w:shd w:val="clear" w:color="auto" w:fill="FFFFFF"/>
            <w:noWrap/>
            <w:vAlign w:val="center"/>
          </w:tcPr>
          <w:p w14:paraId="4C2D7A4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lang w:val="en-US" w:eastAsia="zh-CN" w:bidi="ar-SA"/>
              </w:rPr>
            </w:pPr>
            <w:r>
              <w:rPr>
                <w:rFonts w:hint="default" w:ascii="Times New Roman" w:hAnsi="Times New Roman" w:eastAsia="宋体" w:cs="Times New Roman"/>
                <w:b/>
                <w:bCs/>
                <w:i w:val="0"/>
                <w:iCs w:val="0"/>
                <w:color w:val="000000"/>
                <w:kern w:val="0"/>
                <w:sz w:val="22"/>
                <w:szCs w:val="22"/>
                <w:u w:val="none"/>
                <w:lang w:val="en-US" w:eastAsia="zh-CN" w:bidi="ar"/>
              </w:rPr>
              <w:t>13138.93</w:t>
            </w:r>
          </w:p>
        </w:tc>
        <w:tc>
          <w:tcPr>
            <w:tcW w:w="922" w:type="pct"/>
            <w:tcBorders>
              <w:tl2br w:val="nil"/>
              <w:tr2bl w:val="nil"/>
            </w:tcBorders>
            <w:shd w:val="clear" w:color="auto" w:fill="FFFFFF"/>
            <w:noWrap/>
            <w:vAlign w:val="center"/>
          </w:tcPr>
          <w:p w14:paraId="5ADED6B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lang w:val="en-US" w:eastAsia="zh-CN" w:bidi="ar-SA"/>
              </w:rPr>
            </w:pPr>
            <w:r>
              <w:rPr>
                <w:rFonts w:hint="default" w:ascii="Times New Roman" w:hAnsi="Times New Roman" w:eastAsia="宋体" w:cs="Times New Roman"/>
                <w:b/>
                <w:bCs/>
                <w:i w:val="0"/>
                <w:iCs w:val="0"/>
                <w:color w:val="000000"/>
                <w:kern w:val="0"/>
                <w:sz w:val="22"/>
                <w:szCs w:val="22"/>
                <w:u w:val="none"/>
                <w:lang w:val="en-US" w:eastAsia="zh-CN" w:bidi="ar"/>
              </w:rPr>
              <w:t>4749.05</w:t>
            </w:r>
          </w:p>
        </w:tc>
        <w:tc>
          <w:tcPr>
            <w:tcW w:w="923" w:type="pct"/>
            <w:tcBorders>
              <w:tl2br w:val="nil"/>
              <w:tr2bl w:val="nil"/>
            </w:tcBorders>
            <w:shd w:val="clear" w:color="auto" w:fill="FFFFFF"/>
            <w:noWrap/>
            <w:vAlign w:val="center"/>
          </w:tcPr>
          <w:p w14:paraId="67C8A22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lang w:val="en-US" w:eastAsia="zh-CN" w:bidi="ar-SA"/>
              </w:rPr>
            </w:pPr>
            <w:r>
              <w:rPr>
                <w:rFonts w:hint="default" w:ascii="Times New Roman" w:hAnsi="Times New Roman" w:eastAsia="宋体" w:cs="Times New Roman"/>
                <w:b/>
                <w:bCs/>
                <w:i w:val="0"/>
                <w:iCs w:val="0"/>
                <w:color w:val="000000"/>
                <w:kern w:val="0"/>
                <w:sz w:val="22"/>
                <w:szCs w:val="22"/>
                <w:u w:val="none"/>
                <w:lang w:val="en-US" w:eastAsia="zh-CN" w:bidi="ar"/>
              </w:rPr>
              <w:t>8389.88</w:t>
            </w:r>
          </w:p>
        </w:tc>
      </w:tr>
    </w:tbl>
    <w:p w14:paraId="61AB9BD3">
      <w:pPr>
        <w:spacing w:line="600" w:lineRule="exact"/>
        <w:ind w:firstLine="640" w:firstLineChars="200"/>
        <w:rPr>
          <w:rFonts w:ascii="仿宋_GB2312" w:eastAsia="仿宋_GB2312"/>
          <w:sz w:val="32"/>
          <w:szCs w:val="32"/>
        </w:rPr>
      </w:pPr>
    </w:p>
    <w:p w14:paraId="36E26904">
      <w:pPr>
        <w:spacing w:line="60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.部门</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年度重点工作任务</w:t>
      </w:r>
      <w:bookmarkEnd w:id="5"/>
    </w:p>
    <w:p w14:paraId="16AEF08A">
      <w:pPr>
        <w:spacing w:line="600" w:lineRule="exact"/>
        <w:ind w:firstLine="640" w:firstLineChars="200"/>
        <w:rPr>
          <w:rFonts w:ascii="仿宋_GB2312" w:eastAsia="仿宋_GB2312"/>
          <w:sz w:val="32"/>
          <w:szCs w:val="32"/>
        </w:rPr>
      </w:pPr>
      <w:bookmarkStart w:id="6" w:name="_Toc24624023"/>
      <w:r>
        <w:rPr>
          <w:rFonts w:hint="eastAsia" w:ascii="仿宋_GB2312" w:eastAsia="仿宋_GB2312"/>
          <w:sz w:val="32"/>
          <w:szCs w:val="32"/>
        </w:rPr>
        <w:t>市卫健委202</w:t>
      </w:r>
      <w:r>
        <w:rPr>
          <w:rFonts w:hint="eastAsia" w:ascii="仿宋_GB2312" w:eastAsia="仿宋_GB2312"/>
          <w:sz w:val="32"/>
          <w:szCs w:val="32"/>
          <w:lang w:val="en-US" w:eastAsia="zh-CN"/>
        </w:rPr>
        <w:t>3</w:t>
      </w:r>
      <w:r>
        <w:rPr>
          <w:rFonts w:hint="eastAsia" w:ascii="仿宋_GB2312" w:eastAsia="仿宋_GB2312"/>
          <w:sz w:val="32"/>
          <w:szCs w:val="32"/>
        </w:rPr>
        <w:t>年度重点工作任务包括全力做好新阶段疫情防控工作、大力推进健康南京建设、持续深化综合医改工作、不断加强公共卫生体系建设、全面增强医疗卫生服务体系、稳步提高重点人群健康保障水平、有效提升科教创新和人才队伍建设、深入开展安全稳定工作等</w:t>
      </w:r>
      <w:r>
        <w:rPr>
          <w:rFonts w:hint="eastAsia" w:ascii="仿宋_GB2312" w:eastAsia="仿宋_GB2312"/>
          <w:sz w:val="32"/>
          <w:szCs w:val="32"/>
          <w:lang w:eastAsia="zh-CN"/>
        </w:rPr>
        <w:t>八</w:t>
      </w:r>
      <w:r>
        <w:rPr>
          <w:rFonts w:hint="eastAsia" w:ascii="仿宋_GB2312" w:eastAsia="仿宋_GB2312"/>
          <w:sz w:val="32"/>
          <w:szCs w:val="32"/>
        </w:rPr>
        <w:t>个方面。</w:t>
      </w:r>
    </w:p>
    <w:p w14:paraId="67D6713B">
      <w:pPr>
        <w:pStyle w:val="3"/>
        <w:spacing w:before="0" w:after="0" w:line="600" w:lineRule="exact"/>
        <w:ind w:firstLine="640" w:firstLineChars="200"/>
        <w:rPr>
          <w:rFonts w:ascii="楷体" w:hAnsi="楷体" w:eastAsia="楷体"/>
          <w:b w:val="0"/>
        </w:rPr>
      </w:pPr>
      <w:r>
        <w:rPr>
          <w:rFonts w:hint="eastAsia" w:ascii="楷体" w:hAnsi="楷体" w:eastAsia="楷体"/>
          <w:b w:val="0"/>
        </w:rPr>
        <w:t>（二）部门整体支出预算执行情况</w:t>
      </w:r>
      <w:bookmarkEnd w:id="6"/>
    </w:p>
    <w:p w14:paraId="149A805C">
      <w:pPr>
        <w:spacing w:line="600" w:lineRule="exact"/>
        <w:ind w:firstLine="640" w:firstLineChars="200"/>
        <w:rPr>
          <w:rFonts w:ascii="仿宋_GB2312" w:eastAsia="仿宋_GB2312"/>
          <w:sz w:val="32"/>
          <w:szCs w:val="32"/>
        </w:rPr>
      </w:pPr>
      <w:bookmarkStart w:id="7" w:name="_Toc24624024"/>
      <w:r>
        <w:rPr>
          <w:rFonts w:hint="eastAsia" w:ascii="仿宋_GB2312" w:eastAsia="仿宋_GB2312"/>
          <w:sz w:val="32"/>
          <w:szCs w:val="32"/>
        </w:rPr>
        <w:t>1.部门整体收支情况</w:t>
      </w:r>
      <w:bookmarkEnd w:id="7"/>
    </w:p>
    <w:p w14:paraId="7EEEF869">
      <w:pPr>
        <w:spacing w:line="600" w:lineRule="exact"/>
        <w:ind w:firstLine="640" w:firstLineChars="200"/>
        <w:rPr>
          <w:rFonts w:hint="eastAsia" w:ascii="仿宋_GB2312" w:eastAsia="仿宋_GB2312"/>
          <w:sz w:val="32"/>
          <w:szCs w:val="32"/>
          <w:lang w:eastAsia="zh-CN"/>
        </w:rPr>
      </w:pPr>
      <w:bookmarkStart w:id="8" w:name="_Toc24624025"/>
      <w:r>
        <w:rPr>
          <w:rFonts w:hint="eastAsia" w:ascii="仿宋_GB2312" w:eastAsia="仿宋_GB2312"/>
          <w:sz w:val="32"/>
          <w:szCs w:val="32"/>
        </w:rPr>
        <w:t>市卫健委202</w:t>
      </w:r>
      <w:r>
        <w:rPr>
          <w:rFonts w:hint="eastAsia" w:ascii="仿宋_GB2312" w:eastAsia="仿宋_GB2312"/>
          <w:sz w:val="32"/>
          <w:szCs w:val="32"/>
          <w:lang w:val="en-US" w:eastAsia="zh-CN"/>
        </w:rPr>
        <w:t>3</w:t>
      </w:r>
      <w:r>
        <w:rPr>
          <w:rFonts w:hint="eastAsia" w:ascii="仿宋_GB2312" w:eastAsia="仿宋_GB2312"/>
          <w:sz w:val="32"/>
          <w:szCs w:val="32"/>
        </w:rPr>
        <w:t>年度</w:t>
      </w:r>
      <w:r>
        <w:rPr>
          <w:rFonts w:hint="eastAsia" w:ascii="仿宋_GB2312" w:eastAsia="仿宋_GB2312"/>
          <w:sz w:val="32"/>
          <w:szCs w:val="32"/>
          <w:lang w:eastAsia="zh-CN"/>
        </w:rPr>
        <w:t>收入年初预算数</w:t>
      </w:r>
      <w:r>
        <w:rPr>
          <w:rFonts w:hint="eastAsia" w:ascii="仿宋_GB2312" w:eastAsia="仿宋_GB2312"/>
          <w:sz w:val="32"/>
          <w:szCs w:val="32"/>
          <w:lang w:val="en-US" w:eastAsia="zh-CN"/>
        </w:rPr>
        <w:t>9409.57万元，全部为财政补助收入；</w:t>
      </w:r>
      <w:r>
        <w:rPr>
          <w:rFonts w:hint="eastAsia" w:ascii="仿宋_GB2312" w:eastAsia="仿宋_GB2312"/>
          <w:sz w:val="32"/>
          <w:szCs w:val="32"/>
        </w:rPr>
        <w:t>收入决算数</w:t>
      </w:r>
      <w:r>
        <w:rPr>
          <w:rFonts w:hint="eastAsia" w:ascii="仿宋_GB2312" w:eastAsia="仿宋_GB2312"/>
          <w:sz w:val="32"/>
          <w:szCs w:val="32"/>
          <w:lang w:val="en-US" w:eastAsia="zh-CN"/>
        </w:rPr>
        <w:t>4.71亿</w:t>
      </w:r>
      <w:r>
        <w:rPr>
          <w:rFonts w:hint="eastAsia" w:ascii="仿宋_GB2312" w:eastAsia="仿宋_GB2312"/>
          <w:sz w:val="32"/>
          <w:szCs w:val="32"/>
        </w:rPr>
        <w:t>元，其中本年度收入决算数</w:t>
      </w:r>
      <w:r>
        <w:rPr>
          <w:rFonts w:hint="eastAsia" w:ascii="仿宋_GB2312" w:eastAsia="仿宋_GB2312"/>
          <w:sz w:val="32"/>
          <w:szCs w:val="32"/>
          <w:lang w:val="en-US" w:eastAsia="zh-CN"/>
        </w:rPr>
        <w:t>3.96亿</w:t>
      </w:r>
      <w:r>
        <w:rPr>
          <w:rFonts w:hint="eastAsia" w:ascii="仿宋_GB2312" w:eastAsia="仿宋_GB2312"/>
          <w:sz w:val="32"/>
          <w:szCs w:val="32"/>
        </w:rPr>
        <w:t>元，年初结转和结余</w:t>
      </w:r>
      <w:r>
        <w:rPr>
          <w:rFonts w:hint="eastAsia" w:ascii="仿宋_GB2312" w:eastAsia="仿宋_GB2312"/>
          <w:sz w:val="32"/>
          <w:szCs w:val="32"/>
          <w:lang w:val="en-US" w:eastAsia="zh-CN"/>
        </w:rPr>
        <w:t>7478.48</w:t>
      </w:r>
      <w:r>
        <w:rPr>
          <w:rFonts w:hint="eastAsia" w:ascii="仿宋_GB2312" w:eastAsia="仿宋_GB2312"/>
          <w:sz w:val="32"/>
          <w:szCs w:val="32"/>
        </w:rPr>
        <w:t>万元</w:t>
      </w:r>
      <w:r>
        <w:rPr>
          <w:rFonts w:hint="eastAsia" w:ascii="仿宋_GB2312" w:eastAsia="仿宋_GB2312"/>
          <w:sz w:val="32"/>
          <w:szCs w:val="32"/>
          <w:lang w:eastAsia="zh-CN"/>
        </w:rPr>
        <w:t>。</w:t>
      </w:r>
    </w:p>
    <w:p w14:paraId="6575477D">
      <w:pPr>
        <w:spacing w:line="600" w:lineRule="exact"/>
        <w:ind w:firstLine="640" w:firstLineChars="200"/>
        <w:rPr>
          <w:rFonts w:hint="eastAsia"/>
        </w:rPr>
      </w:pPr>
      <w:r>
        <w:rPr>
          <w:rFonts w:hint="eastAsia" w:ascii="仿宋_GB2312" w:eastAsia="仿宋_GB2312"/>
          <w:sz w:val="32"/>
          <w:szCs w:val="32"/>
          <w:lang w:eastAsia="zh-CN"/>
        </w:rPr>
        <w:t>支出年初预算数</w:t>
      </w:r>
      <w:r>
        <w:rPr>
          <w:rFonts w:hint="eastAsia" w:ascii="仿宋_GB2312" w:eastAsia="仿宋_GB2312"/>
          <w:sz w:val="32"/>
          <w:szCs w:val="32"/>
          <w:lang w:val="en-US" w:eastAsia="zh-CN"/>
        </w:rPr>
        <w:t>9409.57万元，</w:t>
      </w:r>
      <w:r>
        <w:rPr>
          <w:rFonts w:hint="eastAsia" w:ascii="仿宋_GB2312" w:eastAsia="仿宋_GB2312"/>
          <w:sz w:val="32"/>
          <w:szCs w:val="32"/>
        </w:rPr>
        <w:t>支出决算数</w:t>
      </w:r>
      <w:r>
        <w:rPr>
          <w:rFonts w:hint="eastAsia" w:ascii="仿宋_GB2312" w:eastAsia="仿宋_GB2312"/>
          <w:sz w:val="32"/>
          <w:szCs w:val="32"/>
          <w:lang w:val="en-US" w:eastAsia="zh-CN"/>
        </w:rPr>
        <w:t>4.71</w:t>
      </w:r>
      <w:r>
        <w:rPr>
          <w:rFonts w:hint="eastAsia" w:ascii="仿宋_GB2312" w:eastAsia="仿宋_GB2312"/>
          <w:sz w:val="32"/>
          <w:szCs w:val="32"/>
        </w:rPr>
        <w:t>万元，其中基本支出</w:t>
      </w:r>
      <w:r>
        <w:rPr>
          <w:rFonts w:hint="eastAsia" w:ascii="仿宋_GB2312" w:eastAsia="仿宋_GB2312"/>
          <w:sz w:val="32"/>
          <w:szCs w:val="32"/>
          <w:lang w:val="en-US" w:eastAsia="zh-CN"/>
        </w:rPr>
        <w:t>8277.00</w:t>
      </w:r>
      <w:r>
        <w:rPr>
          <w:rFonts w:hint="eastAsia" w:ascii="仿宋_GB2312" w:eastAsia="仿宋_GB2312"/>
          <w:sz w:val="32"/>
          <w:szCs w:val="32"/>
        </w:rPr>
        <w:t>万元、项目支出</w:t>
      </w:r>
      <w:r>
        <w:rPr>
          <w:rFonts w:hint="eastAsia" w:ascii="仿宋_GB2312" w:eastAsia="仿宋_GB2312"/>
          <w:sz w:val="32"/>
          <w:szCs w:val="32"/>
          <w:lang w:val="en-US" w:eastAsia="zh-CN"/>
        </w:rPr>
        <w:t>3.13亿</w:t>
      </w:r>
      <w:r>
        <w:rPr>
          <w:rFonts w:hint="eastAsia" w:ascii="仿宋_GB2312" w:eastAsia="仿宋_GB2312"/>
          <w:sz w:val="32"/>
          <w:szCs w:val="32"/>
        </w:rPr>
        <w:t>元，年末结转和结余7</w:t>
      </w:r>
      <w:r>
        <w:rPr>
          <w:rFonts w:hint="eastAsia" w:ascii="仿宋_GB2312" w:eastAsia="仿宋_GB2312"/>
          <w:sz w:val="32"/>
          <w:szCs w:val="32"/>
          <w:lang w:val="en-US" w:eastAsia="zh-CN"/>
        </w:rPr>
        <w:t>552.78</w:t>
      </w:r>
      <w:r>
        <w:rPr>
          <w:rFonts w:hint="eastAsia" w:ascii="仿宋_GB2312" w:eastAsia="仿宋_GB2312"/>
          <w:sz w:val="32"/>
          <w:szCs w:val="32"/>
        </w:rPr>
        <w:t>万元。</w:t>
      </w:r>
    </w:p>
    <w:p w14:paraId="046C3EEE">
      <w:pPr>
        <w:spacing w:line="60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2023</w:t>
      </w:r>
      <w:r>
        <w:rPr>
          <w:rFonts w:hint="eastAsia" w:ascii="仿宋_GB2312" w:eastAsia="仿宋_GB2312"/>
          <w:sz w:val="32"/>
          <w:szCs w:val="32"/>
        </w:rPr>
        <w:t>年度整体支出情况简述</w:t>
      </w:r>
      <w:bookmarkEnd w:id="8"/>
    </w:p>
    <w:p w14:paraId="01CBE996">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2023</w:t>
      </w:r>
      <w:r>
        <w:rPr>
          <w:rFonts w:hint="eastAsia" w:ascii="仿宋_GB2312" w:eastAsia="仿宋_GB2312"/>
          <w:sz w:val="32"/>
          <w:szCs w:val="32"/>
        </w:rPr>
        <w:t>年市卫健委</w:t>
      </w:r>
      <w:r>
        <w:rPr>
          <w:rFonts w:hint="eastAsia" w:ascii="仿宋_GB2312" w:eastAsia="仿宋_GB2312"/>
          <w:sz w:val="32"/>
          <w:szCs w:val="32"/>
          <w:lang w:eastAsia="zh-CN"/>
        </w:rPr>
        <w:t>本年</w:t>
      </w:r>
      <w:r>
        <w:rPr>
          <w:rFonts w:hint="eastAsia" w:ascii="仿宋_GB2312" w:eastAsia="仿宋_GB2312"/>
          <w:sz w:val="32"/>
          <w:szCs w:val="32"/>
        </w:rPr>
        <w:t>支出合计</w:t>
      </w:r>
      <w:r>
        <w:rPr>
          <w:rFonts w:hint="eastAsia" w:ascii="仿宋_GB2312" w:eastAsia="仿宋_GB2312"/>
          <w:sz w:val="32"/>
          <w:szCs w:val="32"/>
          <w:lang w:val="en-US" w:eastAsia="zh-CN"/>
        </w:rPr>
        <w:t>3.96亿</w:t>
      </w:r>
      <w:r>
        <w:rPr>
          <w:rFonts w:hint="eastAsia" w:ascii="仿宋_GB2312" w:eastAsia="仿宋_GB2312"/>
          <w:sz w:val="32"/>
          <w:szCs w:val="32"/>
        </w:rPr>
        <w:t>元，其中，基本支出</w:t>
      </w:r>
      <w:r>
        <w:rPr>
          <w:rFonts w:hint="eastAsia" w:ascii="仿宋_GB2312" w:eastAsia="仿宋_GB2312"/>
          <w:sz w:val="32"/>
          <w:szCs w:val="32"/>
          <w:lang w:val="en-US" w:eastAsia="zh-CN"/>
        </w:rPr>
        <w:t>8277.00</w:t>
      </w:r>
      <w:r>
        <w:rPr>
          <w:rFonts w:hint="eastAsia" w:ascii="仿宋_GB2312" w:eastAsia="仿宋_GB2312"/>
          <w:sz w:val="32"/>
          <w:szCs w:val="32"/>
        </w:rPr>
        <w:t>万元，项目支出</w:t>
      </w:r>
      <w:r>
        <w:rPr>
          <w:rFonts w:hint="eastAsia" w:ascii="仿宋_GB2312" w:eastAsia="仿宋_GB2312"/>
          <w:sz w:val="32"/>
          <w:szCs w:val="32"/>
          <w:lang w:val="en-US" w:eastAsia="zh-CN"/>
        </w:rPr>
        <w:t>3.13亿</w:t>
      </w:r>
      <w:r>
        <w:rPr>
          <w:rFonts w:hint="eastAsia" w:ascii="仿宋_GB2312" w:eastAsia="仿宋_GB2312"/>
          <w:sz w:val="32"/>
          <w:szCs w:val="32"/>
        </w:rPr>
        <w:t>元。</w:t>
      </w:r>
    </w:p>
    <w:p w14:paraId="32406C8B">
      <w:pPr>
        <w:spacing w:line="600" w:lineRule="exact"/>
        <w:ind w:firstLine="640" w:firstLineChars="200"/>
        <w:rPr>
          <w:rFonts w:ascii="仿宋_GB2312" w:eastAsia="仿宋_GB2312"/>
          <w:sz w:val="32"/>
          <w:szCs w:val="32"/>
        </w:rPr>
      </w:pPr>
      <w:r>
        <w:rPr>
          <w:rFonts w:hint="eastAsia" w:ascii="仿宋_GB2312" w:eastAsia="仿宋_GB2312"/>
          <w:sz w:val="32"/>
          <w:szCs w:val="32"/>
        </w:rPr>
        <w:t>（1）基本支出</w:t>
      </w:r>
    </w:p>
    <w:p w14:paraId="653635CE">
      <w:pPr>
        <w:spacing w:line="600" w:lineRule="exact"/>
        <w:ind w:firstLine="640" w:firstLineChars="200"/>
        <w:rPr>
          <w:rFonts w:ascii="仿宋_GB2312" w:eastAsia="仿宋_GB2312"/>
          <w:sz w:val="32"/>
          <w:szCs w:val="32"/>
        </w:rPr>
      </w:pPr>
      <w:r>
        <w:rPr>
          <w:rFonts w:hint="eastAsia" w:ascii="仿宋_GB2312" w:eastAsia="仿宋_GB2312"/>
          <w:sz w:val="32"/>
          <w:szCs w:val="32"/>
        </w:rPr>
        <w:t>基本支出主要用于保障部门职能的履行和机构日常运转，包括人员经费和日常公用经费支出。</w:t>
      </w:r>
      <w:r>
        <w:rPr>
          <w:rFonts w:hint="eastAsia" w:ascii="仿宋_GB2312" w:eastAsia="仿宋_GB2312"/>
          <w:sz w:val="32"/>
          <w:szCs w:val="32"/>
          <w:lang w:eastAsia="zh-CN"/>
        </w:rPr>
        <w:t>2023</w:t>
      </w:r>
      <w:r>
        <w:rPr>
          <w:rFonts w:hint="eastAsia" w:ascii="仿宋_GB2312" w:eastAsia="仿宋_GB2312"/>
          <w:sz w:val="32"/>
          <w:szCs w:val="32"/>
        </w:rPr>
        <w:t>年基本支出</w:t>
      </w:r>
      <w:r>
        <w:rPr>
          <w:rFonts w:hint="eastAsia" w:ascii="仿宋_GB2312" w:eastAsia="仿宋_GB2312"/>
          <w:sz w:val="32"/>
          <w:szCs w:val="32"/>
          <w:lang w:val="en-US" w:eastAsia="zh-CN"/>
        </w:rPr>
        <w:t>8277.00</w:t>
      </w:r>
      <w:r>
        <w:rPr>
          <w:rStyle w:val="13"/>
          <w:rFonts w:hint="eastAsia" w:ascii="仿宋_GB2312" w:eastAsia="仿宋_GB2312"/>
          <w:sz w:val="32"/>
          <w:szCs w:val="32"/>
        </w:rPr>
        <w:footnoteReference w:id="0" w:customMarkFollows="1"/>
        <w:t>【1】</w:t>
      </w:r>
      <w:r>
        <w:rPr>
          <w:rFonts w:hint="eastAsia" w:ascii="仿宋_GB2312" w:eastAsia="仿宋_GB2312"/>
          <w:sz w:val="32"/>
          <w:szCs w:val="32"/>
        </w:rPr>
        <w:t>万元，人员经费</w:t>
      </w:r>
      <w:r>
        <w:rPr>
          <w:rFonts w:hint="eastAsia" w:ascii="仿宋_GB2312" w:eastAsia="仿宋_GB2312"/>
          <w:sz w:val="32"/>
          <w:szCs w:val="32"/>
          <w:lang w:val="en-US" w:eastAsia="zh-CN"/>
        </w:rPr>
        <w:t>7836.48</w:t>
      </w:r>
      <w:r>
        <w:rPr>
          <w:rFonts w:hint="eastAsia" w:ascii="仿宋_GB2312" w:eastAsia="仿宋_GB2312"/>
          <w:sz w:val="32"/>
          <w:szCs w:val="32"/>
        </w:rPr>
        <w:t>万元，日常公用经费</w:t>
      </w:r>
      <w:r>
        <w:rPr>
          <w:rFonts w:hint="eastAsia" w:ascii="仿宋_GB2312" w:eastAsia="仿宋_GB2312"/>
          <w:sz w:val="32"/>
          <w:szCs w:val="32"/>
          <w:lang w:val="en-US" w:eastAsia="zh-CN"/>
        </w:rPr>
        <w:t>440.52</w:t>
      </w:r>
      <w:r>
        <w:rPr>
          <w:rFonts w:hint="eastAsia" w:ascii="仿宋_GB2312" w:eastAsia="仿宋_GB2312"/>
          <w:sz w:val="32"/>
          <w:szCs w:val="32"/>
        </w:rPr>
        <w:t>万元。</w:t>
      </w:r>
    </w:p>
    <w:p w14:paraId="34075793">
      <w:pPr>
        <w:spacing w:line="60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bCs/>
          <w:sz w:val="32"/>
          <w:szCs w:val="32"/>
        </w:rPr>
        <w:t>三公两费</w:t>
      </w:r>
      <w:r>
        <w:rPr>
          <w:rFonts w:hint="eastAsia" w:ascii="仿宋_GB2312" w:eastAsia="仿宋_GB2312"/>
          <w:sz w:val="32"/>
          <w:szCs w:val="32"/>
        </w:rPr>
        <w:t>”使用情况</w:t>
      </w:r>
    </w:p>
    <w:p w14:paraId="05C2E7C0">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2023</w:t>
      </w:r>
      <w:r>
        <w:rPr>
          <w:rFonts w:hint="eastAsia" w:ascii="仿宋_GB2312" w:eastAsia="仿宋_GB2312"/>
          <w:sz w:val="32"/>
          <w:szCs w:val="32"/>
        </w:rPr>
        <w:t>年度，市卫健委“</w:t>
      </w:r>
      <w:r>
        <w:rPr>
          <w:rFonts w:ascii="仿宋_GB2312" w:eastAsia="仿宋_GB2312"/>
          <w:sz w:val="32"/>
          <w:szCs w:val="32"/>
        </w:rPr>
        <w:t>三公两费</w:t>
      </w:r>
      <w:r>
        <w:rPr>
          <w:rFonts w:hint="eastAsia" w:ascii="仿宋_GB2312" w:eastAsia="仿宋_GB2312"/>
          <w:sz w:val="32"/>
          <w:szCs w:val="32"/>
        </w:rPr>
        <w:t>”实际支出</w:t>
      </w:r>
      <w:r>
        <w:rPr>
          <w:rFonts w:hint="eastAsia" w:ascii="仿宋_GB2312" w:eastAsia="仿宋_GB2312"/>
          <w:sz w:val="32"/>
          <w:szCs w:val="32"/>
          <w:lang w:val="en-US" w:eastAsia="zh-CN"/>
        </w:rPr>
        <w:t>142.68</w:t>
      </w:r>
      <w:r>
        <w:rPr>
          <w:rFonts w:hint="eastAsia" w:ascii="仿宋_GB2312" w:eastAsia="仿宋_GB2312"/>
          <w:sz w:val="32"/>
          <w:szCs w:val="32"/>
        </w:rPr>
        <w:t>万元，具体支出明细详见下表：</w:t>
      </w:r>
    </w:p>
    <w:p w14:paraId="6E808544">
      <w:pPr>
        <w:pStyle w:val="14"/>
      </w:pPr>
      <w:r>
        <w:rPr>
          <w:rFonts w:hint="eastAsia"/>
        </w:rPr>
        <w:t>市卫健委</w:t>
      </w:r>
      <w:r>
        <w:rPr>
          <w:rFonts w:hint="eastAsia"/>
          <w:lang w:eastAsia="zh-CN"/>
        </w:rPr>
        <w:t>2023</w:t>
      </w:r>
      <w:r>
        <w:rPr>
          <w:rFonts w:hint="eastAsia"/>
        </w:rPr>
        <w:t>年度“三公两费”明细表</w:t>
      </w:r>
    </w:p>
    <w:p w14:paraId="1EFCE864">
      <w:pPr>
        <w:jc w:val="right"/>
        <w:rPr>
          <w:rFonts w:hint="eastAsia" w:ascii="仿宋_GB2312" w:eastAsia="仿宋_GB2312"/>
          <w:b/>
          <w:szCs w:val="28"/>
        </w:rPr>
      </w:pPr>
      <w:r>
        <w:rPr>
          <w:rFonts w:hint="eastAsia" w:ascii="仿宋_GB2312" w:eastAsia="仿宋_GB2312"/>
          <w:b/>
          <w:szCs w:val="28"/>
        </w:rPr>
        <w:t>单位：</w:t>
      </w:r>
      <w:r>
        <w:rPr>
          <w:rFonts w:hint="eastAsia" w:ascii="仿宋_GB2312" w:eastAsia="仿宋_GB2312"/>
          <w:b/>
          <w:szCs w:val="28"/>
          <w:lang w:eastAsia="zh-CN"/>
        </w:rPr>
        <w:t>万</w:t>
      </w:r>
      <w:r>
        <w:rPr>
          <w:rFonts w:hint="eastAsia" w:ascii="仿宋_GB2312" w:eastAsia="仿宋_GB2312"/>
          <w:b/>
          <w:szCs w:val="28"/>
        </w:rPr>
        <w:t>元</w:t>
      </w:r>
    </w:p>
    <w:tbl>
      <w:tblPr>
        <w:tblStyle w:val="9"/>
        <w:tblW w:w="61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05"/>
        <w:gridCol w:w="1080"/>
        <w:gridCol w:w="1080"/>
      </w:tblGrid>
      <w:tr w14:paraId="0B145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005"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7B583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080" w:type="dxa"/>
            <w:tcBorders>
              <w:top w:val="single" w:color="auto" w:sz="4" w:space="0"/>
              <w:left w:val="nil"/>
              <w:bottom w:val="single" w:color="000000" w:sz="4" w:space="0"/>
              <w:right w:val="single" w:color="000000" w:sz="4" w:space="0"/>
            </w:tcBorders>
            <w:shd w:val="clear" w:color="auto" w:fill="auto"/>
            <w:noWrap/>
            <w:vAlign w:val="center"/>
          </w:tcPr>
          <w:p w14:paraId="25FEF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1080" w:type="dxa"/>
            <w:tcBorders>
              <w:top w:val="single" w:color="auto" w:sz="4" w:space="0"/>
              <w:left w:val="nil"/>
              <w:bottom w:val="single" w:color="000000" w:sz="4" w:space="0"/>
              <w:right w:val="single" w:color="auto" w:sz="4" w:space="0"/>
            </w:tcBorders>
            <w:shd w:val="clear" w:color="auto" w:fill="auto"/>
            <w:noWrap/>
            <w:vAlign w:val="center"/>
          </w:tcPr>
          <w:p w14:paraId="437BE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14:paraId="71ABA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000000" w:sz="4" w:space="0"/>
              <w:right w:val="single" w:color="000000" w:sz="4" w:space="0"/>
            </w:tcBorders>
            <w:shd w:val="clear" w:color="auto" w:fill="auto"/>
            <w:noWrap/>
            <w:vAlign w:val="center"/>
          </w:tcPr>
          <w:p w14:paraId="2907EC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一、“三公”经费支出</w:t>
            </w:r>
          </w:p>
        </w:tc>
        <w:tc>
          <w:tcPr>
            <w:tcW w:w="0" w:type="auto"/>
            <w:tcBorders>
              <w:top w:val="nil"/>
              <w:left w:val="nil"/>
              <w:bottom w:val="single" w:color="000000" w:sz="4" w:space="0"/>
              <w:right w:val="single" w:color="000000" w:sz="4" w:space="0"/>
            </w:tcBorders>
            <w:shd w:val="clear" w:color="auto" w:fill="auto"/>
            <w:noWrap/>
            <w:vAlign w:val="center"/>
          </w:tcPr>
          <w:p w14:paraId="781C67B2">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auto" w:sz="4" w:space="0"/>
            </w:tcBorders>
            <w:shd w:val="clear" w:color="auto" w:fill="auto"/>
            <w:noWrap/>
            <w:vAlign w:val="center"/>
          </w:tcPr>
          <w:p w14:paraId="1821E16F">
            <w:pPr>
              <w:jc w:val="center"/>
              <w:rPr>
                <w:rFonts w:hint="eastAsia" w:ascii="宋体" w:hAnsi="宋体" w:eastAsia="宋体" w:cs="宋体"/>
                <w:i w:val="0"/>
                <w:iCs w:val="0"/>
                <w:color w:val="000000"/>
                <w:sz w:val="20"/>
                <w:szCs w:val="20"/>
                <w:u w:val="none"/>
              </w:rPr>
            </w:pPr>
          </w:p>
        </w:tc>
      </w:tr>
      <w:tr w14:paraId="62D83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000000" w:sz="4" w:space="0"/>
            </w:tcBorders>
            <w:shd w:val="clear" w:color="auto" w:fill="auto"/>
            <w:noWrap/>
            <w:vAlign w:val="center"/>
          </w:tcPr>
          <w:p w14:paraId="41E023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（一）支出合计</w:t>
            </w:r>
          </w:p>
        </w:tc>
        <w:tc>
          <w:tcPr>
            <w:tcW w:w="0" w:type="auto"/>
            <w:tcBorders>
              <w:top w:val="nil"/>
              <w:left w:val="nil"/>
              <w:bottom w:val="single" w:color="auto" w:sz="4" w:space="0"/>
              <w:right w:val="single" w:color="000000" w:sz="4" w:space="0"/>
            </w:tcBorders>
            <w:shd w:val="clear" w:color="auto" w:fill="auto"/>
            <w:noWrap/>
            <w:vAlign w:val="center"/>
          </w:tcPr>
          <w:p w14:paraId="4FB8ECB3">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14.05</w:t>
            </w:r>
          </w:p>
        </w:tc>
        <w:tc>
          <w:tcPr>
            <w:tcW w:w="0" w:type="auto"/>
            <w:tcBorders>
              <w:top w:val="nil"/>
              <w:left w:val="nil"/>
              <w:bottom w:val="single" w:color="auto" w:sz="4" w:space="0"/>
              <w:right w:val="single" w:color="auto" w:sz="4" w:space="0"/>
            </w:tcBorders>
            <w:shd w:val="clear" w:color="auto" w:fill="auto"/>
            <w:noWrap/>
            <w:vAlign w:val="center"/>
          </w:tcPr>
          <w:p w14:paraId="41EBC90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11.6</w:t>
            </w:r>
          </w:p>
        </w:tc>
      </w:tr>
      <w:tr w14:paraId="58C8D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auto" w:sz="4" w:space="0"/>
              <w:left w:val="single" w:color="000000" w:sz="12" w:space="0"/>
              <w:bottom w:val="single" w:color="000000" w:sz="4" w:space="0"/>
              <w:right w:val="single" w:color="000000" w:sz="4" w:space="0"/>
            </w:tcBorders>
            <w:shd w:val="clear" w:color="auto" w:fill="auto"/>
            <w:noWrap/>
            <w:vAlign w:val="center"/>
          </w:tcPr>
          <w:p w14:paraId="55E1DE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1．因公出国（境）费</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14:paraId="261E74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14:paraId="5A0C6C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21C0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nil"/>
              <w:left w:val="single" w:color="000000" w:sz="12" w:space="0"/>
              <w:bottom w:val="single" w:color="000000" w:sz="4" w:space="0"/>
              <w:right w:val="single" w:color="000000" w:sz="4" w:space="0"/>
            </w:tcBorders>
            <w:shd w:val="clear" w:color="auto" w:fill="auto"/>
            <w:noWrap/>
            <w:vAlign w:val="center"/>
          </w:tcPr>
          <w:p w14:paraId="432E28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2．公务用车购置及运行维护费</w:t>
            </w:r>
          </w:p>
        </w:tc>
        <w:tc>
          <w:tcPr>
            <w:tcW w:w="0" w:type="auto"/>
            <w:tcBorders>
              <w:top w:val="nil"/>
              <w:left w:val="nil"/>
              <w:bottom w:val="single" w:color="000000" w:sz="4" w:space="0"/>
              <w:right w:val="single" w:color="000000" w:sz="4" w:space="0"/>
            </w:tcBorders>
            <w:shd w:val="clear" w:color="auto" w:fill="auto"/>
            <w:noWrap/>
            <w:vAlign w:val="center"/>
          </w:tcPr>
          <w:p w14:paraId="1F70DB03">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6.05</w:t>
            </w:r>
          </w:p>
        </w:tc>
        <w:tc>
          <w:tcPr>
            <w:tcW w:w="0" w:type="auto"/>
            <w:tcBorders>
              <w:top w:val="nil"/>
              <w:left w:val="nil"/>
              <w:bottom w:val="single" w:color="000000" w:sz="4" w:space="0"/>
              <w:right w:val="single" w:color="000000" w:sz="4" w:space="0"/>
            </w:tcBorders>
            <w:shd w:val="clear" w:color="auto" w:fill="auto"/>
            <w:noWrap/>
            <w:vAlign w:val="center"/>
          </w:tcPr>
          <w:p w14:paraId="373D92B3">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4.41</w:t>
            </w:r>
          </w:p>
        </w:tc>
      </w:tr>
      <w:tr w14:paraId="48D1C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nil"/>
              <w:left w:val="single" w:color="000000" w:sz="12" w:space="0"/>
              <w:bottom w:val="single" w:color="000000" w:sz="4" w:space="0"/>
              <w:right w:val="single" w:color="000000" w:sz="4" w:space="0"/>
            </w:tcBorders>
            <w:shd w:val="clear" w:color="auto" w:fill="auto"/>
            <w:noWrap/>
            <w:vAlign w:val="center"/>
          </w:tcPr>
          <w:p w14:paraId="206D54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（1）公务用车购置费</w:t>
            </w:r>
          </w:p>
        </w:tc>
        <w:tc>
          <w:tcPr>
            <w:tcW w:w="0" w:type="auto"/>
            <w:tcBorders>
              <w:top w:val="nil"/>
              <w:left w:val="nil"/>
              <w:bottom w:val="single" w:color="000000" w:sz="4" w:space="0"/>
              <w:right w:val="single" w:color="000000" w:sz="4" w:space="0"/>
            </w:tcBorders>
            <w:shd w:val="clear" w:color="auto" w:fill="auto"/>
            <w:noWrap/>
            <w:vAlign w:val="center"/>
          </w:tcPr>
          <w:p w14:paraId="07841B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D7E28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2355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nil"/>
              <w:left w:val="single" w:color="000000" w:sz="12" w:space="0"/>
              <w:bottom w:val="single" w:color="000000" w:sz="4" w:space="0"/>
              <w:right w:val="single" w:color="000000" w:sz="4" w:space="0"/>
            </w:tcBorders>
            <w:shd w:val="clear" w:color="auto" w:fill="auto"/>
            <w:noWrap/>
            <w:vAlign w:val="center"/>
          </w:tcPr>
          <w:p w14:paraId="4912C4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（2）公务用车运行维护费</w:t>
            </w:r>
          </w:p>
        </w:tc>
        <w:tc>
          <w:tcPr>
            <w:tcW w:w="0" w:type="auto"/>
            <w:tcBorders>
              <w:top w:val="nil"/>
              <w:left w:val="nil"/>
              <w:bottom w:val="single" w:color="000000" w:sz="4" w:space="0"/>
              <w:right w:val="single" w:color="000000" w:sz="4" w:space="0"/>
            </w:tcBorders>
            <w:shd w:val="clear" w:color="auto" w:fill="auto"/>
            <w:noWrap/>
            <w:vAlign w:val="center"/>
          </w:tcPr>
          <w:p w14:paraId="63625108">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6.05</w:t>
            </w:r>
          </w:p>
        </w:tc>
        <w:tc>
          <w:tcPr>
            <w:tcW w:w="0" w:type="auto"/>
            <w:tcBorders>
              <w:top w:val="nil"/>
              <w:left w:val="nil"/>
              <w:bottom w:val="single" w:color="000000" w:sz="4" w:space="0"/>
              <w:right w:val="single" w:color="000000" w:sz="4" w:space="0"/>
            </w:tcBorders>
            <w:shd w:val="clear" w:color="auto" w:fill="auto"/>
            <w:noWrap/>
            <w:vAlign w:val="center"/>
          </w:tcPr>
          <w:p w14:paraId="0A99899B">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4.41</w:t>
            </w:r>
          </w:p>
        </w:tc>
      </w:tr>
      <w:tr w14:paraId="7D0CB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nil"/>
              <w:left w:val="single" w:color="000000" w:sz="12" w:space="0"/>
              <w:bottom w:val="single" w:color="000000" w:sz="4" w:space="0"/>
              <w:right w:val="single" w:color="000000" w:sz="4" w:space="0"/>
            </w:tcBorders>
            <w:shd w:val="clear" w:color="auto" w:fill="auto"/>
            <w:noWrap/>
            <w:vAlign w:val="center"/>
          </w:tcPr>
          <w:p w14:paraId="175987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3．公务接待费</w:t>
            </w:r>
          </w:p>
        </w:tc>
        <w:tc>
          <w:tcPr>
            <w:tcW w:w="0" w:type="auto"/>
            <w:tcBorders>
              <w:top w:val="nil"/>
              <w:left w:val="nil"/>
              <w:bottom w:val="single" w:color="000000" w:sz="4" w:space="0"/>
              <w:right w:val="single" w:color="000000" w:sz="4" w:space="0"/>
            </w:tcBorders>
            <w:shd w:val="clear" w:color="auto" w:fill="auto"/>
            <w:noWrap/>
            <w:vAlign w:val="center"/>
          </w:tcPr>
          <w:p w14:paraId="12F6172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14:paraId="01716E37">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7.19</w:t>
            </w:r>
          </w:p>
        </w:tc>
      </w:tr>
      <w:tr w14:paraId="72AF3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nil"/>
              <w:left w:val="single" w:color="000000" w:sz="12" w:space="0"/>
              <w:bottom w:val="single" w:color="000000" w:sz="4" w:space="0"/>
              <w:right w:val="single" w:color="000000" w:sz="4" w:space="0"/>
            </w:tcBorders>
            <w:shd w:val="clear" w:color="auto" w:fill="auto"/>
            <w:noWrap/>
            <w:vAlign w:val="center"/>
          </w:tcPr>
          <w:p w14:paraId="484A3F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二、会议费</w:t>
            </w:r>
          </w:p>
        </w:tc>
        <w:tc>
          <w:tcPr>
            <w:tcW w:w="0" w:type="auto"/>
            <w:tcBorders>
              <w:top w:val="nil"/>
              <w:left w:val="nil"/>
              <w:bottom w:val="single" w:color="000000" w:sz="4" w:space="0"/>
              <w:right w:val="single" w:color="000000" w:sz="4" w:space="0"/>
            </w:tcBorders>
            <w:shd w:val="clear" w:color="auto" w:fill="auto"/>
            <w:noWrap/>
            <w:vAlign w:val="center"/>
          </w:tcPr>
          <w:p w14:paraId="30F9CD9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57.8</w:t>
            </w:r>
          </w:p>
        </w:tc>
        <w:tc>
          <w:tcPr>
            <w:tcW w:w="0" w:type="auto"/>
            <w:tcBorders>
              <w:top w:val="nil"/>
              <w:left w:val="nil"/>
              <w:bottom w:val="single" w:color="000000" w:sz="4" w:space="0"/>
              <w:right w:val="single" w:color="000000" w:sz="4" w:space="0"/>
            </w:tcBorders>
            <w:shd w:val="clear" w:color="auto" w:fill="auto"/>
            <w:noWrap/>
            <w:vAlign w:val="center"/>
          </w:tcPr>
          <w:p w14:paraId="61493FC0">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34.24</w:t>
            </w:r>
          </w:p>
        </w:tc>
      </w:tr>
      <w:tr w14:paraId="072AE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nil"/>
              <w:left w:val="single" w:color="000000" w:sz="12" w:space="0"/>
              <w:bottom w:val="single" w:color="000000" w:sz="4" w:space="0"/>
              <w:right w:val="single" w:color="000000" w:sz="4" w:space="0"/>
            </w:tcBorders>
            <w:shd w:val="clear" w:color="auto" w:fill="auto"/>
            <w:noWrap/>
            <w:vAlign w:val="center"/>
          </w:tcPr>
          <w:p w14:paraId="33F12D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三、培训费</w:t>
            </w:r>
          </w:p>
        </w:tc>
        <w:tc>
          <w:tcPr>
            <w:tcW w:w="0" w:type="auto"/>
            <w:tcBorders>
              <w:top w:val="nil"/>
              <w:left w:val="nil"/>
              <w:bottom w:val="single" w:color="000000" w:sz="4" w:space="0"/>
              <w:right w:val="single" w:color="000000" w:sz="4" w:space="0"/>
            </w:tcBorders>
            <w:shd w:val="clear" w:color="auto" w:fill="auto"/>
            <w:noWrap/>
            <w:vAlign w:val="center"/>
          </w:tcPr>
          <w:p w14:paraId="1346770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97.00</w:t>
            </w:r>
          </w:p>
        </w:tc>
        <w:tc>
          <w:tcPr>
            <w:tcW w:w="0" w:type="auto"/>
            <w:tcBorders>
              <w:top w:val="nil"/>
              <w:left w:val="nil"/>
              <w:bottom w:val="single" w:color="000000" w:sz="4" w:space="0"/>
              <w:right w:val="single" w:color="000000" w:sz="4" w:space="0"/>
            </w:tcBorders>
            <w:shd w:val="clear" w:color="auto" w:fill="auto"/>
            <w:noWrap/>
            <w:vAlign w:val="center"/>
          </w:tcPr>
          <w:p w14:paraId="6359B19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96.84</w:t>
            </w:r>
          </w:p>
        </w:tc>
      </w:tr>
    </w:tbl>
    <w:p w14:paraId="6211DC3F">
      <w:pPr>
        <w:pStyle w:val="8"/>
      </w:pPr>
    </w:p>
    <w:p w14:paraId="23CE0205">
      <w:pPr>
        <w:spacing w:line="600" w:lineRule="exact"/>
        <w:ind w:firstLine="640" w:firstLineChars="200"/>
        <w:rPr>
          <w:rFonts w:ascii="仿宋_GB2312" w:eastAsia="仿宋_GB2312"/>
          <w:sz w:val="32"/>
          <w:szCs w:val="32"/>
        </w:rPr>
      </w:pPr>
      <w:r>
        <w:rPr>
          <w:rFonts w:hint="eastAsia" w:ascii="仿宋_GB2312" w:eastAsia="仿宋_GB2312"/>
          <w:sz w:val="32"/>
          <w:szCs w:val="32"/>
        </w:rPr>
        <w:t>（3）项目支出</w:t>
      </w:r>
    </w:p>
    <w:p w14:paraId="037889A2">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2023</w:t>
      </w:r>
      <w:r>
        <w:rPr>
          <w:rFonts w:hint="eastAsia" w:ascii="仿宋_GB2312" w:eastAsia="仿宋_GB2312"/>
          <w:sz w:val="32"/>
          <w:szCs w:val="32"/>
        </w:rPr>
        <w:t>年项目支出</w:t>
      </w:r>
      <w:r>
        <w:rPr>
          <w:rFonts w:hint="eastAsia" w:ascii="仿宋_GB2312" w:eastAsia="仿宋_GB2312"/>
          <w:sz w:val="32"/>
          <w:szCs w:val="32"/>
          <w:lang w:val="en-US" w:eastAsia="zh-CN"/>
        </w:rPr>
        <w:t>.13亿</w:t>
      </w:r>
      <w:r>
        <w:rPr>
          <w:rFonts w:hint="eastAsia" w:ascii="仿宋_GB2312" w:eastAsia="仿宋_GB2312"/>
          <w:sz w:val="32"/>
          <w:szCs w:val="32"/>
        </w:rPr>
        <w:t>万元，</w:t>
      </w:r>
      <w:r>
        <w:rPr>
          <w:rFonts w:hint="eastAsia" w:ascii="仿宋_GB2312" w:hAnsi="宋体" w:eastAsia="仿宋_GB2312"/>
          <w:sz w:val="32"/>
          <w:szCs w:val="32"/>
        </w:rPr>
        <w:t>各</w:t>
      </w:r>
      <w:r>
        <w:rPr>
          <w:rFonts w:hint="eastAsia" w:ascii="仿宋_GB2312" w:eastAsia="仿宋_GB2312"/>
          <w:sz w:val="32"/>
          <w:szCs w:val="32"/>
        </w:rPr>
        <w:t>项目支出明细详见下表：</w:t>
      </w:r>
    </w:p>
    <w:p w14:paraId="75D47F0D">
      <w:pPr>
        <w:pStyle w:val="8"/>
      </w:pPr>
    </w:p>
    <w:p w14:paraId="4EA730B2">
      <w:pPr>
        <w:pStyle w:val="8"/>
        <w:ind w:firstLine="320"/>
        <w:rPr>
          <w:rFonts w:ascii="仿宋_GB2312" w:eastAsia="仿宋_GB2312"/>
          <w:sz w:val="32"/>
          <w:szCs w:val="32"/>
        </w:rPr>
      </w:pPr>
    </w:p>
    <w:p w14:paraId="286FA92E">
      <w:pPr>
        <w:pStyle w:val="8"/>
        <w:ind w:firstLine="320"/>
        <w:rPr>
          <w:rFonts w:ascii="仿宋_GB2312" w:eastAsia="仿宋_GB2312"/>
          <w:sz w:val="32"/>
          <w:szCs w:val="32"/>
        </w:rPr>
      </w:pPr>
    </w:p>
    <w:p w14:paraId="092E293D">
      <w:pPr>
        <w:pStyle w:val="8"/>
        <w:ind w:firstLine="320"/>
        <w:rPr>
          <w:rFonts w:ascii="仿宋_GB2312" w:eastAsia="仿宋_GB2312"/>
          <w:sz w:val="32"/>
          <w:szCs w:val="32"/>
        </w:rPr>
        <w:sectPr>
          <w:pgSz w:w="11906" w:h="16838"/>
          <w:pgMar w:top="1440" w:right="1800" w:bottom="1440" w:left="1800" w:header="851" w:footer="992" w:gutter="0"/>
          <w:cols w:space="425" w:num="1"/>
          <w:docGrid w:type="lines" w:linePitch="312" w:charSpace="0"/>
        </w:sectPr>
      </w:pPr>
    </w:p>
    <w:p w14:paraId="5BF5CB8C">
      <w:pPr>
        <w:pStyle w:val="14"/>
      </w:pPr>
      <w:r>
        <w:rPr>
          <w:rFonts w:hint="eastAsia"/>
        </w:rPr>
        <w:t xml:space="preserve"> 市卫健委</w:t>
      </w:r>
      <w:r>
        <w:rPr>
          <w:rFonts w:hint="eastAsia"/>
          <w:lang w:eastAsia="zh-CN"/>
        </w:rPr>
        <w:t>2023</w:t>
      </w:r>
      <w:r>
        <w:rPr>
          <w:rFonts w:hint="eastAsia"/>
        </w:rPr>
        <w:t>年度项目收支明细表</w:t>
      </w:r>
    </w:p>
    <w:p w14:paraId="170736B4">
      <w:pPr>
        <w:jc w:val="right"/>
        <w:rPr>
          <w:rFonts w:ascii="仿宋_GB2312" w:eastAsia="仿宋_GB2312"/>
          <w:b/>
          <w:szCs w:val="28"/>
        </w:rPr>
      </w:pPr>
      <w:r>
        <w:rPr>
          <w:rFonts w:hint="eastAsia" w:ascii="仿宋_GB2312" w:eastAsia="仿宋_GB2312"/>
          <w:b/>
          <w:szCs w:val="28"/>
        </w:rPr>
        <w:t>单位：万元</w:t>
      </w:r>
    </w:p>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16"/>
        <w:gridCol w:w="1505"/>
        <w:gridCol w:w="939"/>
        <w:gridCol w:w="942"/>
        <w:gridCol w:w="939"/>
        <w:gridCol w:w="948"/>
        <w:gridCol w:w="939"/>
        <w:gridCol w:w="939"/>
        <w:gridCol w:w="942"/>
        <w:gridCol w:w="939"/>
        <w:gridCol w:w="939"/>
        <w:gridCol w:w="939"/>
        <w:gridCol w:w="945"/>
      </w:tblGrid>
      <w:tr w14:paraId="30D59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4" w:type="pct"/>
            <w:vMerge w:val="restart"/>
            <w:tcBorders>
              <w:top w:val="nil"/>
              <w:left w:val="nil"/>
              <w:bottom w:val="single" w:color="D4D4D4" w:sz="4" w:space="0"/>
              <w:right w:val="single" w:color="D4D4D4" w:sz="4" w:space="0"/>
            </w:tcBorders>
            <w:shd w:val="clear" w:color="auto" w:fill="F1F1F1"/>
            <w:vAlign w:val="center"/>
          </w:tcPr>
          <w:p w14:paraId="2C172DB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bookmarkStart w:id="9" w:name="_Toc24624026"/>
            <w:r>
              <w:rPr>
                <w:rFonts w:hint="eastAsia" w:ascii="宋体" w:hAnsi="宋体" w:eastAsia="宋体" w:cs="宋体"/>
                <w:i w:val="0"/>
                <w:iCs w:val="0"/>
                <w:color w:val="000000"/>
                <w:kern w:val="0"/>
                <w:sz w:val="15"/>
                <w:szCs w:val="15"/>
                <w:u w:val="none"/>
                <w:lang w:val="en-US" w:eastAsia="zh-CN" w:bidi="ar"/>
              </w:rPr>
              <w:t>项目名称</w:t>
            </w:r>
          </w:p>
        </w:tc>
        <w:tc>
          <w:tcPr>
            <w:tcW w:w="1898" w:type="pct"/>
            <w:gridSpan w:val="5"/>
            <w:tcBorders>
              <w:top w:val="nil"/>
              <w:left w:val="nil"/>
              <w:bottom w:val="single" w:color="D4D4D4" w:sz="4" w:space="0"/>
              <w:right w:val="single" w:color="D4D4D4" w:sz="4" w:space="0"/>
            </w:tcBorders>
            <w:shd w:val="clear" w:color="auto" w:fill="F1F1F1"/>
            <w:vAlign w:val="center"/>
          </w:tcPr>
          <w:p w14:paraId="3B18BC8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资金来源</w:t>
            </w:r>
          </w:p>
        </w:tc>
        <w:tc>
          <w:tcPr>
            <w:tcW w:w="1018" w:type="pct"/>
            <w:gridSpan w:val="3"/>
            <w:tcBorders>
              <w:top w:val="nil"/>
              <w:left w:val="nil"/>
              <w:bottom w:val="single" w:color="D4D4D4" w:sz="4" w:space="0"/>
              <w:right w:val="single" w:color="D4D4D4" w:sz="4" w:space="0"/>
            </w:tcBorders>
            <w:shd w:val="clear" w:color="auto" w:fill="F1F1F1"/>
            <w:vAlign w:val="center"/>
          </w:tcPr>
          <w:p w14:paraId="1351040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支出数</w:t>
            </w:r>
          </w:p>
        </w:tc>
        <w:tc>
          <w:tcPr>
            <w:tcW w:w="1358" w:type="pct"/>
            <w:gridSpan w:val="4"/>
            <w:tcBorders>
              <w:top w:val="nil"/>
              <w:left w:val="nil"/>
              <w:bottom w:val="single" w:color="D4D4D4" w:sz="4" w:space="0"/>
              <w:right w:val="single" w:color="D4D4D4" w:sz="4" w:space="0"/>
            </w:tcBorders>
            <w:shd w:val="clear" w:color="auto" w:fill="F1F1F1"/>
            <w:vAlign w:val="center"/>
          </w:tcPr>
          <w:p w14:paraId="0851131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年末结转和结余</w:t>
            </w:r>
          </w:p>
        </w:tc>
      </w:tr>
      <w:tr w14:paraId="7B3A3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vMerge w:val="continue"/>
            <w:tcBorders>
              <w:top w:val="nil"/>
              <w:left w:val="nil"/>
              <w:bottom w:val="single" w:color="D4D4D4" w:sz="4" w:space="0"/>
              <w:right w:val="single" w:color="D4D4D4" w:sz="4" w:space="0"/>
            </w:tcBorders>
            <w:shd w:val="clear" w:color="auto" w:fill="F1F1F1"/>
            <w:vAlign w:val="center"/>
          </w:tcPr>
          <w:p w14:paraId="35355FFD">
            <w:pPr>
              <w:jc w:val="center"/>
              <w:rPr>
                <w:rFonts w:hint="eastAsia" w:ascii="宋体" w:hAnsi="宋体" w:eastAsia="宋体" w:cs="宋体"/>
                <w:i w:val="0"/>
                <w:iCs w:val="0"/>
                <w:color w:val="000000"/>
                <w:sz w:val="15"/>
                <w:szCs w:val="15"/>
                <w:u w:val="none"/>
              </w:rPr>
            </w:pPr>
          </w:p>
        </w:tc>
        <w:tc>
          <w:tcPr>
            <w:tcW w:w="539" w:type="pct"/>
            <w:vMerge w:val="restart"/>
            <w:tcBorders>
              <w:top w:val="nil"/>
              <w:left w:val="nil"/>
              <w:bottom w:val="single" w:color="D4D4D4" w:sz="4" w:space="0"/>
              <w:right w:val="single" w:color="D4D4D4" w:sz="4" w:space="0"/>
            </w:tcBorders>
            <w:shd w:val="clear" w:color="auto" w:fill="F1F1F1"/>
            <w:vAlign w:val="center"/>
          </w:tcPr>
          <w:p w14:paraId="1701C3F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合计</w:t>
            </w:r>
          </w:p>
        </w:tc>
        <w:tc>
          <w:tcPr>
            <w:tcW w:w="679" w:type="pct"/>
            <w:gridSpan w:val="2"/>
            <w:tcBorders>
              <w:top w:val="nil"/>
              <w:left w:val="nil"/>
              <w:bottom w:val="single" w:color="D4D4D4" w:sz="4" w:space="0"/>
              <w:right w:val="single" w:color="D4D4D4" w:sz="4" w:space="0"/>
            </w:tcBorders>
            <w:shd w:val="clear" w:color="auto" w:fill="F1F1F1"/>
            <w:vAlign w:val="center"/>
          </w:tcPr>
          <w:p w14:paraId="3FFAA59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年初结转和结余</w:t>
            </w:r>
          </w:p>
        </w:tc>
        <w:tc>
          <w:tcPr>
            <w:tcW w:w="339" w:type="pct"/>
            <w:tcBorders>
              <w:top w:val="nil"/>
              <w:left w:val="nil"/>
              <w:bottom w:val="single" w:color="D4D4D4" w:sz="4" w:space="0"/>
              <w:right w:val="single" w:color="D4D4D4" w:sz="4" w:space="0"/>
            </w:tcBorders>
            <w:shd w:val="clear" w:color="auto" w:fill="F1F1F1"/>
            <w:vAlign w:val="center"/>
          </w:tcPr>
          <w:p w14:paraId="619C7BB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财政拨款</w:t>
            </w:r>
          </w:p>
        </w:tc>
        <w:tc>
          <w:tcPr>
            <w:tcW w:w="340" w:type="pct"/>
            <w:vMerge w:val="restart"/>
            <w:tcBorders>
              <w:top w:val="nil"/>
              <w:left w:val="nil"/>
              <w:bottom w:val="single" w:color="D4D4D4" w:sz="4" w:space="0"/>
              <w:right w:val="single" w:color="D4D4D4" w:sz="4" w:space="0"/>
            </w:tcBorders>
            <w:shd w:val="clear" w:color="auto" w:fill="F1F1F1"/>
            <w:vAlign w:val="center"/>
          </w:tcPr>
          <w:p w14:paraId="67C4FAA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其他资金</w:t>
            </w:r>
          </w:p>
        </w:tc>
        <w:tc>
          <w:tcPr>
            <w:tcW w:w="339" w:type="pct"/>
            <w:vMerge w:val="restart"/>
            <w:tcBorders>
              <w:top w:val="nil"/>
              <w:left w:val="nil"/>
              <w:bottom w:val="single" w:color="D4D4D4" w:sz="4" w:space="0"/>
              <w:right w:val="single" w:color="D4D4D4" w:sz="4" w:space="0"/>
            </w:tcBorders>
            <w:shd w:val="clear" w:color="auto" w:fill="F1F1F1"/>
            <w:vAlign w:val="center"/>
          </w:tcPr>
          <w:p w14:paraId="3D3F900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合计</w:t>
            </w:r>
          </w:p>
        </w:tc>
        <w:tc>
          <w:tcPr>
            <w:tcW w:w="339" w:type="pct"/>
            <w:vMerge w:val="restart"/>
            <w:tcBorders>
              <w:top w:val="nil"/>
              <w:left w:val="nil"/>
              <w:bottom w:val="single" w:color="D4D4D4" w:sz="4" w:space="0"/>
              <w:right w:val="single" w:color="D4D4D4" w:sz="4" w:space="0"/>
            </w:tcBorders>
            <w:shd w:val="clear" w:color="auto" w:fill="F1F1F1"/>
            <w:vAlign w:val="center"/>
          </w:tcPr>
          <w:p w14:paraId="4FB6341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财政拨款</w:t>
            </w:r>
          </w:p>
        </w:tc>
        <w:tc>
          <w:tcPr>
            <w:tcW w:w="339" w:type="pct"/>
            <w:vMerge w:val="restart"/>
            <w:tcBorders>
              <w:top w:val="nil"/>
              <w:left w:val="nil"/>
              <w:bottom w:val="single" w:color="D4D4D4" w:sz="4" w:space="0"/>
              <w:right w:val="single" w:color="D4D4D4" w:sz="4" w:space="0"/>
            </w:tcBorders>
            <w:shd w:val="clear" w:color="auto" w:fill="F1F1F1"/>
            <w:vAlign w:val="center"/>
          </w:tcPr>
          <w:p w14:paraId="2F34A2A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其他资金</w:t>
            </w:r>
          </w:p>
        </w:tc>
        <w:tc>
          <w:tcPr>
            <w:tcW w:w="339" w:type="pct"/>
            <w:vMerge w:val="restart"/>
            <w:tcBorders>
              <w:top w:val="nil"/>
              <w:left w:val="nil"/>
              <w:bottom w:val="single" w:color="D4D4D4" w:sz="4" w:space="0"/>
              <w:right w:val="single" w:color="D4D4D4" w:sz="4" w:space="0"/>
            </w:tcBorders>
            <w:shd w:val="clear" w:color="auto" w:fill="F1F1F1"/>
            <w:vAlign w:val="center"/>
          </w:tcPr>
          <w:p w14:paraId="22239A8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合计</w:t>
            </w:r>
          </w:p>
        </w:tc>
        <w:tc>
          <w:tcPr>
            <w:tcW w:w="1019" w:type="pct"/>
            <w:gridSpan w:val="3"/>
            <w:tcBorders>
              <w:top w:val="nil"/>
              <w:left w:val="nil"/>
              <w:bottom w:val="single" w:color="D4D4D4" w:sz="4" w:space="0"/>
              <w:right w:val="single" w:color="D4D4D4" w:sz="4" w:space="0"/>
            </w:tcBorders>
            <w:shd w:val="clear" w:color="auto" w:fill="F1F1F1"/>
            <w:vAlign w:val="center"/>
          </w:tcPr>
          <w:p w14:paraId="1DF73E8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其中：财政拨款结转和结余</w:t>
            </w:r>
          </w:p>
        </w:tc>
      </w:tr>
      <w:tr w14:paraId="53EDD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vMerge w:val="continue"/>
            <w:tcBorders>
              <w:top w:val="nil"/>
              <w:left w:val="nil"/>
              <w:bottom w:val="single" w:color="D4D4D4" w:sz="4" w:space="0"/>
              <w:right w:val="single" w:color="D4D4D4" w:sz="4" w:space="0"/>
            </w:tcBorders>
            <w:shd w:val="clear" w:color="auto" w:fill="F1F1F1"/>
            <w:vAlign w:val="center"/>
          </w:tcPr>
          <w:p w14:paraId="6C96DB0A">
            <w:pPr>
              <w:jc w:val="center"/>
              <w:rPr>
                <w:rFonts w:hint="eastAsia" w:ascii="宋体" w:hAnsi="宋体" w:eastAsia="宋体" w:cs="宋体"/>
                <w:i w:val="0"/>
                <w:iCs w:val="0"/>
                <w:color w:val="000000"/>
                <w:sz w:val="15"/>
                <w:szCs w:val="15"/>
                <w:u w:val="none"/>
              </w:rPr>
            </w:pPr>
          </w:p>
        </w:tc>
        <w:tc>
          <w:tcPr>
            <w:tcW w:w="539" w:type="pct"/>
            <w:vMerge w:val="continue"/>
            <w:tcBorders>
              <w:top w:val="nil"/>
              <w:left w:val="nil"/>
              <w:bottom w:val="single" w:color="D4D4D4" w:sz="4" w:space="0"/>
              <w:right w:val="single" w:color="D4D4D4" w:sz="4" w:space="0"/>
            </w:tcBorders>
            <w:shd w:val="clear" w:color="auto" w:fill="F1F1F1"/>
            <w:vAlign w:val="center"/>
          </w:tcPr>
          <w:p w14:paraId="4BFDC465">
            <w:pPr>
              <w:jc w:val="center"/>
              <w:rPr>
                <w:rFonts w:hint="eastAsia" w:ascii="宋体" w:hAnsi="宋体" w:eastAsia="宋体" w:cs="宋体"/>
                <w:i w:val="0"/>
                <w:iCs w:val="0"/>
                <w:color w:val="000000"/>
                <w:sz w:val="15"/>
                <w:szCs w:val="15"/>
                <w:u w:val="none"/>
              </w:rPr>
            </w:pPr>
          </w:p>
        </w:tc>
        <w:tc>
          <w:tcPr>
            <w:tcW w:w="339" w:type="pct"/>
            <w:vMerge w:val="restart"/>
            <w:tcBorders>
              <w:top w:val="nil"/>
              <w:left w:val="nil"/>
              <w:bottom w:val="single" w:color="D4D4D4" w:sz="4" w:space="0"/>
              <w:right w:val="single" w:color="D4D4D4" w:sz="4" w:space="0"/>
            </w:tcBorders>
            <w:shd w:val="clear" w:color="auto" w:fill="F1F1F1"/>
            <w:vAlign w:val="center"/>
          </w:tcPr>
          <w:p w14:paraId="775DE44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339" w:type="pct"/>
            <w:vMerge w:val="restart"/>
            <w:tcBorders>
              <w:top w:val="nil"/>
              <w:left w:val="nil"/>
              <w:bottom w:val="single" w:color="D4D4D4" w:sz="4" w:space="0"/>
              <w:right w:val="single" w:color="D4D4D4" w:sz="4" w:space="0"/>
            </w:tcBorders>
            <w:shd w:val="clear" w:color="auto" w:fill="F1F1F1"/>
            <w:vAlign w:val="center"/>
          </w:tcPr>
          <w:p w14:paraId="1AEEF60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其中：财政拨款结转和结余</w:t>
            </w:r>
          </w:p>
        </w:tc>
        <w:tc>
          <w:tcPr>
            <w:tcW w:w="339" w:type="pct"/>
            <w:vMerge w:val="restart"/>
            <w:tcBorders>
              <w:top w:val="nil"/>
              <w:left w:val="nil"/>
              <w:bottom w:val="single" w:color="D4D4D4" w:sz="4" w:space="0"/>
              <w:right w:val="single" w:color="D4D4D4" w:sz="4" w:space="0"/>
            </w:tcBorders>
            <w:shd w:val="clear" w:color="auto" w:fill="F1F1F1"/>
            <w:vAlign w:val="center"/>
          </w:tcPr>
          <w:p w14:paraId="0FCAECE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340" w:type="pct"/>
            <w:vMerge w:val="continue"/>
            <w:tcBorders>
              <w:top w:val="nil"/>
              <w:left w:val="nil"/>
              <w:bottom w:val="single" w:color="D4D4D4" w:sz="4" w:space="0"/>
              <w:right w:val="single" w:color="D4D4D4" w:sz="4" w:space="0"/>
            </w:tcBorders>
            <w:shd w:val="clear" w:color="auto" w:fill="F1F1F1"/>
            <w:vAlign w:val="center"/>
          </w:tcPr>
          <w:p w14:paraId="72731A3A">
            <w:pPr>
              <w:jc w:val="center"/>
              <w:rPr>
                <w:rFonts w:hint="eastAsia" w:ascii="宋体" w:hAnsi="宋体" w:eastAsia="宋体" w:cs="宋体"/>
                <w:i w:val="0"/>
                <w:iCs w:val="0"/>
                <w:color w:val="000000"/>
                <w:sz w:val="15"/>
                <w:szCs w:val="15"/>
                <w:u w:val="none"/>
              </w:rPr>
            </w:pPr>
          </w:p>
        </w:tc>
        <w:tc>
          <w:tcPr>
            <w:tcW w:w="339" w:type="pct"/>
            <w:vMerge w:val="continue"/>
            <w:tcBorders>
              <w:top w:val="nil"/>
              <w:left w:val="nil"/>
              <w:bottom w:val="single" w:color="D4D4D4" w:sz="4" w:space="0"/>
              <w:right w:val="single" w:color="D4D4D4" w:sz="4" w:space="0"/>
            </w:tcBorders>
            <w:shd w:val="clear" w:color="auto" w:fill="F1F1F1"/>
            <w:vAlign w:val="center"/>
          </w:tcPr>
          <w:p w14:paraId="228DAD36">
            <w:pPr>
              <w:jc w:val="center"/>
              <w:rPr>
                <w:rFonts w:hint="eastAsia" w:ascii="宋体" w:hAnsi="宋体" w:eastAsia="宋体" w:cs="宋体"/>
                <w:i w:val="0"/>
                <w:iCs w:val="0"/>
                <w:color w:val="000000"/>
                <w:sz w:val="15"/>
                <w:szCs w:val="15"/>
                <w:u w:val="none"/>
              </w:rPr>
            </w:pPr>
          </w:p>
        </w:tc>
        <w:tc>
          <w:tcPr>
            <w:tcW w:w="339" w:type="pct"/>
            <w:vMerge w:val="continue"/>
            <w:tcBorders>
              <w:top w:val="nil"/>
              <w:left w:val="nil"/>
              <w:bottom w:val="single" w:color="D4D4D4" w:sz="4" w:space="0"/>
              <w:right w:val="single" w:color="D4D4D4" w:sz="4" w:space="0"/>
            </w:tcBorders>
            <w:shd w:val="clear" w:color="auto" w:fill="F1F1F1"/>
            <w:vAlign w:val="center"/>
          </w:tcPr>
          <w:p w14:paraId="77E99F06">
            <w:pPr>
              <w:jc w:val="center"/>
              <w:rPr>
                <w:rFonts w:hint="eastAsia" w:ascii="宋体" w:hAnsi="宋体" w:eastAsia="宋体" w:cs="宋体"/>
                <w:i w:val="0"/>
                <w:iCs w:val="0"/>
                <w:color w:val="000000"/>
                <w:sz w:val="15"/>
                <w:szCs w:val="15"/>
                <w:u w:val="none"/>
              </w:rPr>
            </w:pPr>
          </w:p>
        </w:tc>
        <w:tc>
          <w:tcPr>
            <w:tcW w:w="339" w:type="pct"/>
            <w:vMerge w:val="continue"/>
            <w:tcBorders>
              <w:top w:val="nil"/>
              <w:left w:val="nil"/>
              <w:bottom w:val="single" w:color="D4D4D4" w:sz="4" w:space="0"/>
              <w:right w:val="single" w:color="D4D4D4" w:sz="4" w:space="0"/>
            </w:tcBorders>
            <w:shd w:val="clear" w:color="auto" w:fill="F1F1F1"/>
            <w:vAlign w:val="center"/>
          </w:tcPr>
          <w:p w14:paraId="39AC6F4A">
            <w:pPr>
              <w:jc w:val="center"/>
              <w:rPr>
                <w:rFonts w:hint="eastAsia" w:ascii="宋体" w:hAnsi="宋体" w:eastAsia="宋体" w:cs="宋体"/>
                <w:i w:val="0"/>
                <w:iCs w:val="0"/>
                <w:color w:val="000000"/>
                <w:sz w:val="15"/>
                <w:szCs w:val="15"/>
                <w:u w:val="none"/>
              </w:rPr>
            </w:pPr>
          </w:p>
        </w:tc>
        <w:tc>
          <w:tcPr>
            <w:tcW w:w="339" w:type="pct"/>
            <w:vMerge w:val="continue"/>
            <w:tcBorders>
              <w:top w:val="nil"/>
              <w:left w:val="nil"/>
              <w:bottom w:val="single" w:color="D4D4D4" w:sz="4" w:space="0"/>
              <w:right w:val="single" w:color="D4D4D4" w:sz="4" w:space="0"/>
            </w:tcBorders>
            <w:shd w:val="clear" w:color="auto" w:fill="F1F1F1"/>
            <w:vAlign w:val="center"/>
          </w:tcPr>
          <w:p w14:paraId="22A8E985">
            <w:pPr>
              <w:jc w:val="center"/>
              <w:rPr>
                <w:rFonts w:hint="eastAsia" w:ascii="宋体" w:hAnsi="宋体" w:eastAsia="宋体" w:cs="宋体"/>
                <w:i w:val="0"/>
                <w:iCs w:val="0"/>
                <w:color w:val="000000"/>
                <w:sz w:val="15"/>
                <w:szCs w:val="15"/>
                <w:u w:val="none"/>
              </w:rPr>
            </w:pPr>
          </w:p>
        </w:tc>
        <w:tc>
          <w:tcPr>
            <w:tcW w:w="339" w:type="pct"/>
            <w:vMerge w:val="restart"/>
            <w:tcBorders>
              <w:top w:val="nil"/>
              <w:left w:val="nil"/>
              <w:bottom w:val="single" w:color="D4D4D4" w:sz="4" w:space="0"/>
              <w:right w:val="single" w:color="D4D4D4" w:sz="4" w:space="0"/>
            </w:tcBorders>
            <w:shd w:val="clear" w:color="auto" w:fill="F1F1F1"/>
            <w:vAlign w:val="center"/>
          </w:tcPr>
          <w:p w14:paraId="12B46D3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339" w:type="pct"/>
            <w:vMerge w:val="restart"/>
            <w:tcBorders>
              <w:top w:val="nil"/>
              <w:left w:val="nil"/>
              <w:bottom w:val="single" w:color="D4D4D4" w:sz="4" w:space="0"/>
              <w:right w:val="single" w:color="D4D4D4" w:sz="4" w:space="0"/>
            </w:tcBorders>
            <w:shd w:val="clear" w:color="auto" w:fill="F1F1F1"/>
            <w:vAlign w:val="center"/>
          </w:tcPr>
          <w:p w14:paraId="6B0BA00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财政拨款结转</w:t>
            </w:r>
          </w:p>
        </w:tc>
        <w:tc>
          <w:tcPr>
            <w:tcW w:w="340" w:type="pct"/>
            <w:vMerge w:val="restart"/>
            <w:tcBorders>
              <w:top w:val="nil"/>
              <w:left w:val="nil"/>
              <w:bottom w:val="single" w:color="D4D4D4" w:sz="4" w:space="0"/>
              <w:right w:val="single" w:color="D4D4D4" w:sz="12" w:space="0"/>
            </w:tcBorders>
            <w:shd w:val="clear" w:color="auto" w:fill="F1F1F1"/>
            <w:vAlign w:val="center"/>
          </w:tcPr>
          <w:p w14:paraId="0234060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财政拨款结余</w:t>
            </w:r>
          </w:p>
        </w:tc>
      </w:tr>
      <w:tr w14:paraId="433D0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vMerge w:val="continue"/>
            <w:tcBorders>
              <w:top w:val="nil"/>
              <w:left w:val="nil"/>
              <w:bottom w:val="single" w:color="D4D4D4" w:sz="4" w:space="0"/>
              <w:right w:val="single" w:color="D4D4D4" w:sz="4" w:space="0"/>
            </w:tcBorders>
            <w:shd w:val="clear" w:color="auto" w:fill="F1F1F1"/>
            <w:vAlign w:val="center"/>
          </w:tcPr>
          <w:p w14:paraId="72C9C11B">
            <w:pPr>
              <w:jc w:val="center"/>
              <w:rPr>
                <w:rFonts w:hint="eastAsia" w:ascii="宋体" w:hAnsi="宋体" w:eastAsia="宋体" w:cs="宋体"/>
                <w:i w:val="0"/>
                <w:iCs w:val="0"/>
                <w:color w:val="000000"/>
                <w:sz w:val="15"/>
                <w:szCs w:val="15"/>
                <w:u w:val="none"/>
              </w:rPr>
            </w:pPr>
          </w:p>
        </w:tc>
        <w:tc>
          <w:tcPr>
            <w:tcW w:w="539" w:type="pct"/>
            <w:vMerge w:val="continue"/>
            <w:tcBorders>
              <w:top w:val="nil"/>
              <w:left w:val="nil"/>
              <w:bottom w:val="single" w:color="D4D4D4" w:sz="4" w:space="0"/>
              <w:right w:val="single" w:color="D4D4D4" w:sz="4" w:space="0"/>
            </w:tcBorders>
            <w:shd w:val="clear" w:color="auto" w:fill="F1F1F1"/>
            <w:vAlign w:val="center"/>
          </w:tcPr>
          <w:p w14:paraId="14024D4F">
            <w:pPr>
              <w:jc w:val="center"/>
              <w:rPr>
                <w:rFonts w:hint="eastAsia" w:ascii="宋体" w:hAnsi="宋体" w:eastAsia="宋体" w:cs="宋体"/>
                <w:i w:val="0"/>
                <w:iCs w:val="0"/>
                <w:color w:val="000000"/>
                <w:sz w:val="15"/>
                <w:szCs w:val="15"/>
                <w:u w:val="none"/>
              </w:rPr>
            </w:pPr>
          </w:p>
        </w:tc>
        <w:tc>
          <w:tcPr>
            <w:tcW w:w="339" w:type="pct"/>
            <w:vMerge w:val="continue"/>
            <w:tcBorders>
              <w:top w:val="nil"/>
              <w:left w:val="nil"/>
              <w:bottom w:val="single" w:color="D4D4D4" w:sz="4" w:space="0"/>
              <w:right w:val="single" w:color="D4D4D4" w:sz="4" w:space="0"/>
            </w:tcBorders>
            <w:shd w:val="clear" w:color="auto" w:fill="F1F1F1"/>
            <w:vAlign w:val="center"/>
          </w:tcPr>
          <w:p w14:paraId="427EFE46">
            <w:pPr>
              <w:jc w:val="center"/>
              <w:rPr>
                <w:rFonts w:hint="eastAsia" w:ascii="宋体" w:hAnsi="宋体" w:eastAsia="宋体" w:cs="宋体"/>
                <w:i w:val="0"/>
                <w:iCs w:val="0"/>
                <w:color w:val="000000"/>
                <w:sz w:val="15"/>
                <w:szCs w:val="15"/>
                <w:u w:val="none"/>
              </w:rPr>
            </w:pPr>
          </w:p>
        </w:tc>
        <w:tc>
          <w:tcPr>
            <w:tcW w:w="339" w:type="pct"/>
            <w:vMerge w:val="continue"/>
            <w:tcBorders>
              <w:top w:val="nil"/>
              <w:left w:val="nil"/>
              <w:bottom w:val="single" w:color="D4D4D4" w:sz="4" w:space="0"/>
              <w:right w:val="single" w:color="D4D4D4" w:sz="4" w:space="0"/>
            </w:tcBorders>
            <w:shd w:val="clear" w:color="auto" w:fill="F1F1F1"/>
            <w:vAlign w:val="center"/>
          </w:tcPr>
          <w:p w14:paraId="0047A6BF">
            <w:pPr>
              <w:jc w:val="center"/>
              <w:rPr>
                <w:rFonts w:hint="eastAsia" w:ascii="宋体" w:hAnsi="宋体" w:eastAsia="宋体" w:cs="宋体"/>
                <w:i w:val="0"/>
                <w:iCs w:val="0"/>
                <w:color w:val="000000"/>
                <w:sz w:val="15"/>
                <w:szCs w:val="15"/>
                <w:u w:val="none"/>
              </w:rPr>
            </w:pPr>
          </w:p>
        </w:tc>
        <w:tc>
          <w:tcPr>
            <w:tcW w:w="339" w:type="pct"/>
            <w:vMerge w:val="continue"/>
            <w:tcBorders>
              <w:top w:val="nil"/>
              <w:left w:val="nil"/>
              <w:bottom w:val="single" w:color="D4D4D4" w:sz="4" w:space="0"/>
              <w:right w:val="single" w:color="D4D4D4" w:sz="4" w:space="0"/>
            </w:tcBorders>
            <w:shd w:val="clear" w:color="auto" w:fill="F1F1F1"/>
            <w:vAlign w:val="center"/>
          </w:tcPr>
          <w:p w14:paraId="7588628B">
            <w:pPr>
              <w:jc w:val="center"/>
              <w:rPr>
                <w:rFonts w:hint="eastAsia" w:ascii="宋体" w:hAnsi="宋体" w:eastAsia="宋体" w:cs="宋体"/>
                <w:i w:val="0"/>
                <w:iCs w:val="0"/>
                <w:color w:val="000000"/>
                <w:sz w:val="15"/>
                <w:szCs w:val="15"/>
                <w:u w:val="none"/>
              </w:rPr>
            </w:pPr>
          </w:p>
        </w:tc>
        <w:tc>
          <w:tcPr>
            <w:tcW w:w="340" w:type="pct"/>
            <w:vMerge w:val="continue"/>
            <w:tcBorders>
              <w:top w:val="nil"/>
              <w:left w:val="nil"/>
              <w:bottom w:val="single" w:color="D4D4D4" w:sz="4" w:space="0"/>
              <w:right w:val="single" w:color="D4D4D4" w:sz="4" w:space="0"/>
            </w:tcBorders>
            <w:shd w:val="clear" w:color="auto" w:fill="F1F1F1"/>
            <w:vAlign w:val="center"/>
          </w:tcPr>
          <w:p w14:paraId="6803A9AB">
            <w:pPr>
              <w:jc w:val="center"/>
              <w:rPr>
                <w:rFonts w:hint="eastAsia" w:ascii="宋体" w:hAnsi="宋体" w:eastAsia="宋体" w:cs="宋体"/>
                <w:i w:val="0"/>
                <w:iCs w:val="0"/>
                <w:color w:val="000000"/>
                <w:sz w:val="15"/>
                <w:szCs w:val="15"/>
                <w:u w:val="none"/>
              </w:rPr>
            </w:pPr>
          </w:p>
        </w:tc>
        <w:tc>
          <w:tcPr>
            <w:tcW w:w="339" w:type="pct"/>
            <w:vMerge w:val="continue"/>
            <w:tcBorders>
              <w:top w:val="nil"/>
              <w:left w:val="nil"/>
              <w:bottom w:val="single" w:color="D4D4D4" w:sz="4" w:space="0"/>
              <w:right w:val="single" w:color="D4D4D4" w:sz="4" w:space="0"/>
            </w:tcBorders>
            <w:shd w:val="clear" w:color="auto" w:fill="F1F1F1"/>
            <w:vAlign w:val="center"/>
          </w:tcPr>
          <w:p w14:paraId="266D6FE3">
            <w:pPr>
              <w:jc w:val="center"/>
              <w:rPr>
                <w:rFonts w:hint="eastAsia" w:ascii="宋体" w:hAnsi="宋体" w:eastAsia="宋体" w:cs="宋体"/>
                <w:i w:val="0"/>
                <w:iCs w:val="0"/>
                <w:color w:val="000000"/>
                <w:sz w:val="15"/>
                <w:szCs w:val="15"/>
                <w:u w:val="none"/>
              </w:rPr>
            </w:pPr>
          </w:p>
        </w:tc>
        <w:tc>
          <w:tcPr>
            <w:tcW w:w="339" w:type="pct"/>
            <w:vMerge w:val="continue"/>
            <w:tcBorders>
              <w:top w:val="nil"/>
              <w:left w:val="nil"/>
              <w:bottom w:val="single" w:color="D4D4D4" w:sz="4" w:space="0"/>
              <w:right w:val="single" w:color="D4D4D4" w:sz="4" w:space="0"/>
            </w:tcBorders>
            <w:shd w:val="clear" w:color="auto" w:fill="F1F1F1"/>
            <w:vAlign w:val="center"/>
          </w:tcPr>
          <w:p w14:paraId="28335FA5">
            <w:pPr>
              <w:jc w:val="center"/>
              <w:rPr>
                <w:rFonts w:hint="eastAsia" w:ascii="宋体" w:hAnsi="宋体" w:eastAsia="宋体" w:cs="宋体"/>
                <w:i w:val="0"/>
                <w:iCs w:val="0"/>
                <w:color w:val="000000"/>
                <w:sz w:val="15"/>
                <w:szCs w:val="15"/>
                <w:u w:val="none"/>
              </w:rPr>
            </w:pPr>
          </w:p>
        </w:tc>
        <w:tc>
          <w:tcPr>
            <w:tcW w:w="339" w:type="pct"/>
            <w:vMerge w:val="continue"/>
            <w:tcBorders>
              <w:top w:val="nil"/>
              <w:left w:val="nil"/>
              <w:bottom w:val="single" w:color="D4D4D4" w:sz="4" w:space="0"/>
              <w:right w:val="single" w:color="D4D4D4" w:sz="4" w:space="0"/>
            </w:tcBorders>
            <w:shd w:val="clear" w:color="auto" w:fill="F1F1F1"/>
            <w:vAlign w:val="center"/>
          </w:tcPr>
          <w:p w14:paraId="5DA18164">
            <w:pPr>
              <w:jc w:val="center"/>
              <w:rPr>
                <w:rFonts w:hint="eastAsia" w:ascii="宋体" w:hAnsi="宋体" w:eastAsia="宋体" w:cs="宋体"/>
                <w:i w:val="0"/>
                <w:iCs w:val="0"/>
                <w:color w:val="000000"/>
                <w:sz w:val="15"/>
                <w:szCs w:val="15"/>
                <w:u w:val="none"/>
              </w:rPr>
            </w:pPr>
          </w:p>
        </w:tc>
        <w:tc>
          <w:tcPr>
            <w:tcW w:w="339" w:type="pct"/>
            <w:vMerge w:val="continue"/>
            <w:tcBorders>
              <w:top w:val="nil"/>
              <w:left w:val="nil"/>
              <w:bottom w:val="single" w:color="D4D4D4" w:sz="4" w:space="0"/>
              <w:right w:val="single" w:color="D4D4D4" w:sz="4" w:space="0"/>
            </w:tcBorders>
            <w:shd w:val="clear" w:color="auto" w:fill="F1F1F1"/>
            <w:vAlign w:val="center"/>
          </w:tcPr>
          <w:p w14:paraId="5962D408">
            <w:pPr>
              <w:jc w:val="center"/>
              <w:rPr>
                <w:rFonts w:hint="eastAsia" w:ascii="宋体" w:hAnsi="宋体" w:eastAsia="宋体" w:cs="宋体"/>
                <w:i w:val="0"/>
                <w:iCs w:val="0"/>
                <w:color w:val="000000"/>
                <w:sz w:val="15"/>
                <w:szCs w:val="15"/>
                <w:u w:val="none"/>
              </w:rPr>
            </w:pPr>
          </w:p>
        </w:tc>
        <w:tc>
          <w:tcPr>
            <w:tcW w:w="339" w:type="pct"/>
            <w:vMerge w:val="continue"/>
            <w:tcBorders>
              <w:top w:val="nil"/>
              <w:left w:val="nil"/>
              <w:bottom w:val="single" w:color="D4D4D4" w:sz="4" w:space="0"/>
              <w:right w:val="single" w:color="D4D4D4" w:sz="4" w:space="0"/>
            </w:tcBorders>
            <w:shd w:val="clear" w:color="auto" w:fill="F1F1F1"/>
            <w:vAlign w:val="center"/>
          </w:tcPr>
          <w:p w14:paraId="4D65C7F9">
            <w:pPr>
              <w:jc w:val="center"/>
              <w:rPr>
                <w:rFonts w:hint="eastAsia" w:ascii="宋体" w:hAnsi="宋体" w:eastAsia="宋体" w:cs="宋体"/>
                <w:i w:val="0"/>
                <w:iCs w:val="0"/>
                <w:color w:val="000000"/>
                <w:sz w:val="15"/>
                <w:szCs w:val="15"/>
                <w:u w:val="none"/>
              </w:rPr>
            </w:pPr>
          </w:p>
        </w:tc>
        <w:tc>
          <w:tcPr>
            <w:tcW w:w="339" w:type="pct"/>
            <w:vMerge w:val="continue"/>
            <w:tcBorders>
              <w:top w:val="nil"/>
              <w:left w:val="nil"/>
              <w:bottom w:val="single" w:color="D4D4D4" w:sz="4" w:space="0"/>
              <w:right w:val="single" w:color="D4D4D4" w:sz="4" w:space="0"/>
            </w:tcBorders>
            <w:shd w:val="clear" w:color="auto" w:fill="F1F1F1"/>
            <w:vAlign w:val="center"/>
          </w:tcPr>
          <w:p w14:paraId="79FF70E8">
            <w:pPr>
              <w:jc w:val="center"/>
              <w:rPr>
                <w:rFonts w:hint="eastAsia" w:ascii="宋体" w:hAnsi="宋体" w:eastAsia="宋体" w:cs="宋体"/>
                <w:i w:val="0"/>
                <w:iCs w:val="0"/>
                <w:color w:val="000000"/>
                <w:sz w:val="15"/>
                <w:szCs w:val="15"/>
                <w:u w:val="none"/>
              </w:rPr>
            </w:pPr>
          </w:p>
        </w:tc>
        <w:tc>
          <w:tcPr>
            <w:tcW w:w="340" w:type="pct"/>
            <w:vMerge w:val="continue"/>
            <w:tcBorders>
              <w:top w:val="nil"/>
              <w:left w:val="nil"/>
              <w:bottom w:val="single" w:color="D4D4D4" w:sz="4" w:space="0"/>
              <w:right w:val="single" w:color="D4D4D4" w:sz="12" w:space="0"/>
            </w:tcBorders>
            <w:shd w:val="clear" w:color="auto" w:fill="F1F1F1"/>
            <w:vAlign w:val="center"/>
          </w:tcPr>
          <w:p w14:paraId="37EDD3CF">
            <w:pPr>
              <w:jc w:val="center"/>
              <w:rPr>
                <w:rFonts w:hint="eastAsia" w:ascii="宋体" w:hAnsi="宋体" w:eastAsia="宋体" w:cs="宋体"/>
                <w:i w:val="0"/>
                <w:iCs w:val="0"/>
                <w:color w:val="000000"/>
                <w:sz w:val="15"/>
                <w:szCs w:val="15"/>
                <w:u w:val="none"/>
              </w:rPr>
            </w:pPr>
          </w:p>
        </w:tc>
      </w:tr>
      <w:tr w14:paraId="45A69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tcBorders>
              <w:top w:val="nil"/>
              <w:left w:val="nil"/>
              <w:bottom w:val="single" w:color="D4D4D4" w:sz="4" w:space="0"/>
              <w:right w:val="single" w:color="D4D4D4" w:sz="4" w:space="0"/>
            </w:tcBorders>
            <w:shd w:val="clear" w:color="auto" w:fill="F1F1F1"/>
            <w:vAlign w:val="center"/>
          </w:tcPr>
          <w:p w14:paraId="352C34A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合计</w:t>
            </w:r>
          </w:p>
        </w:tc>
        <w:tc>
          <w:tcPr>
            <w:tcW w:w="539" w:type="pct"/>
            <w:tcBorders>
              <w:top w:val="nil"/>
              <w:left w:val="nil"/>
              <w:bottom w:val="single" w:color="D4D4D4" w:sz="4" w:space="0"/>
              <w:right w:val="single" w:color="D4D4D4" w:sz="4" w:space="0"/>
            </w:tcBorders>
            <w:shd w:val="clear" w:color="auto" w:fill="FFFFFF"/>
            <w:noWrap/>
            <w:vAlign w:val="center"/>
          </w:tcPr>
          <w:p w14:paraId="67623B8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38,345.56</w:t>
            </w:r>
          </w:p>
        </w:tc>
        <w:tc>
          <w:tcPr>
            <w:tcW w:w="339" w:type="pct"/>
            <w:tcBorders>
              <w:top w:val="nil"/>
              <w:left w:val="nil"/>
              <w:bottom w:val="single" w:color="D4D4D4" w:sz="4" w:space="0"/>
              <w:right w:val="single" w:color="D4D4D4" w:sz="4" w:space="0"/>
            </w:tcBorders>
            <w:shd w:val="clear" w:color="auto" w:fill="FFFFFF"/>
            <w:noWrap/>
            <w:vAlign w:val="center"/>
          </w:tcPr>
          <w:p w14:paraId="06869B6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7,006.24</w:t>
            </w:r>
          </w:p>
        </w:tc>
        <w:tc>
          <w:tcPr>
            <w:tcW w:w="339" w:type="pct"/>
            <w:tcBorders>
              <w:top w:val="nil"/>
              <w:left w:val="nil"/>
              <w:bottom w:val="single" w:color="D4D4D4" w:sz="4" w:space="0"/>
              <w:right w:val="single" w:color="D4D4D4" w:sz="4" w:space="0"/>
            </w:tcBorders>
            <w:shd w:val="clear" w:color="auto" w:fill="FFFFFF"/>
            <w:noWrap/>
            <w:vAlign w:val="center"/>
          </w:tcPr>
          <w:p w14:paraId="2AE77D2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5,702.83</w:t>
            </w:r>
          </w:p>
        </w:tc>
        <w:tc>
          <w:tcPr>
            <w:tcW w:w="339" w:type="pct"/>
            <w:tcBorders>
              <w:top w:val="nil"/>
              <w:left w:val="nil"/>
              <w:bottom w:val="single" w:color="D4D4D4" w:sz="4" w:space="0"/>
              <w:right w:val="single" w:color="D4D4D4" w:sz="4" w:space="0"/>
            </w:tcBorders>
            <w:shd w:val="clear" w:color="auto" w:fill="FFFFFF"/>
            <w:noWrap/>
            <w:vAlign w:val="center"/>
          </w:tcPr>
          <w:p w14:paraId="1B6ACCA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30,984.21</w:t>
            </w:r>
          </w:p>
        </w:tc>
        <w:tc>
          <w:tcPr>
            <w:tcW w:w="340" w:type="pct"/>
            <w:tcBorders>
              <w:top w:val="nil"/>
              <w:left w:val="nil"/>
              <w:bottom w:val="single" w:color="D4D4D4" w:sz="4" w:space="0"/>
              <w:right w:val="single" w:color="D4D4D4" w:sz="4" w:space="0"/>
            </w:tcBorders>
            <w:shd w:val="clear" w:color="auto" w:fill="FFFFFF"/>
            <w:noWrap/>
            <w:vAlign w:val="center"/>
          </w:tcPr>
          <w:p w14:paraId="4971FED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355.10</w:t>
            </w:r>
          </w:p>
        </w:tc>
        <w:tc>
          <w:tcPr>
            <w:tcW w:w="339" w:type="pct"/>
            <w:tcBorders>
              <w:top w:val="nil"/>
              <w:left w:val="nil"/>
              <w:bottom w:val="single" w:color="D4D4D4" w:sz="4" w:space="0"/>
              <w:right w:val="single" w:color="D4D4D4" w:sz="4" w:space="0"/>
            </w:tcBorders>
            <w:shd w:val="clear" w:color="auto" w:fill="FFFFFF"/>
            <w:noWrap/>
            <w:vAlign w:val="center"/>
          </w:tcPr>
          <w:p w14:paraId="135A9E7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31,283.76</w:t>
            </w:r>
          </w:p>
        </w:tc>
        <w:tc>
          <w:tcPr>
            <w:tcW w:w="339" w:type="pct"/>
            <w:tcBorders>
              <w:top w:val="nil"/>
              <w:left w:val="nil"/>
              <w:bottom w:val="single" w:color="D4D4D4" w:sz="4" w:space="0"/>
              <w:right w:val="single" w:color="D4D4D4" w:sz="4" w:space="0"/>
            </w:tcBorders>
            <w:shd w:val="clear" w:color="auto" w:fill="FFFFFF"/>
            <w:noWrap/>
            <w:vAlign w:val="center"/>
          </w:tcPr>
          <w:p w14:paraId="3E2E0FC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30,984.21</w:t>
            </w:r>
          </w:p>
        </w:tc>
        <w:tc>
          <w:tcPr>
            <w:tcW w:w="339" w:type="pct"/>
            <w:tcBorders>
              <w:top w:val="nil"/>
              <w:left w:val="nil"/>
              <w:bottom w:val="single" w:color="D4D4D4" w:sz="4" w:space="0"/>
              <w:right w:val="single" w:color="D4D4D4" w:sz="4" w:space="0"/>
            </w:tcBorders>
            <w:shd w:val="clear" w:color="auto" w:fill="FFFFFF"/>
            <w:noWrap/>
            <w:vAlign w:val="center"/>
          </w:tcPr>
          <w:p w14:paraId="3ACA735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299.55</w:t>
            </w:r>
          </w:p>
        </w:tc>
        <w:tc>
          <w:tcPr>
            <w:tcW w:w="339" w:type="pct"/>
            <w:tcBorders>
              <w:top w:val="nil"/>
              <w:left w:val="nil"/>
              <w:bottom w:val="single" w:color="D4D4D4" w:sz="4" w:space="0"/>
              <w:right w:val="single" w:color="D4D4D4" w:sz="4" w:space="0"/>
            </w:tcBorders>
            <w:shd w:val="clear" w:color="auto" w:fill="FFFFFF"/>
            <w:noWrap/>
            <w:vAlign w:val="center"/>
          </w:tcPr>
          <w:p w14:paraId="0EE823D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7,061.80</w:t>
            </w:r>
          </w:p>
        </w:tc>
        <w:tc>
          <w:tcPr>
            <w:tcW w:w="339" w:type="pct"/>
            <w:tcBorders>
              <w:top w:val="nil"/>
              <w:left w:val="nil"/>
              <w:bottom w:val="single" w:color="D4D4D4" w:sz="4" w:space="0"/>
              <w:right w:val="single" w:color="D4D4D4" w:sz="4" w:space="0"/>
            </w:tcBorders>
            <w:shd w:val="clear" w:color="auto" w:fill="FFFFFF"/>
            <w:noWrap/>
            <w:vAlign w:val="center"/>
          </w:tcPr>
          <w:p w14:paraId="6D07CB2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5,702.83</w:t>
            </w:r>
          </w:p>
        </w:tc>
        <w:tc>
          <w:tcPr>
            <w:tcW w:w="339" w:type="pct"/>
            <w:tcBorders>
              <w:top w:val="nil"/>
              <w:left w:val="nil"/>
              <w:bottom w:val="single" w:color="D4D4D4" w:sz="4" w:space="0"/>
              <w:right w:val="single" w:color="D4D4D4" w:sz="4" w:space="0"/>
            </w:tcBorders>
            <w:shd w:val="clear" w:color="auto" w:fill="FFFFFF"/>
            <w:noWrap/>
            <w:vAlign w:val="center"/>
          </w:tcPr>
          <w:p w14:paraId="5DF48AF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5,702.83</w:t>
            </w:r>
          </w:p>
        </w:tc>
        <w:tc>
          <w:tcPr>
            <w:tcW w:w="340" w:type="pct"/>
            <w:tcBorders>
              <w:top w:val="nil"/>
              <w:left w:val="nil"/>
              <w:bottom w:val="single" w:color="D4D4D4" w:sz="4" w:space="0"/>
              <w:right w:val="single" w:color="D4D4D4" w:sz="4" w:space="0"/>
            </w:tcBorders>
            <w:shd w:val="clear" w:color="auto" w:fill="FFFFFF"/>
            <w:noWrap/>
            <w:vAlign w:val="center"/>
          </w:tcPr>
          <w:p w14:paraId="519C2EC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597B4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tcBorders>
              <w:top w:val="nil"/>
              <w:left w:val="nil"/>
              <w:bottom w:val="single" w:color="D4D4D4" w:sz="4" w:space="0"/>
              <w:right w:val="single" w:color="D4D4D4" w:sz="4" w:space="0"/>
            </w:tcBorders>
            <w:shd w:val="clear" w:color="auto" w:fill="FFFFFF"/>
            <w:noWrap/>
            <w:vAlign w:val="center"/>
          </w:tcPr>
          <w:p w14:paraId="5A54072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0-3婴幼儿发展</w:t>
            </w:r>
          </w:p>
        </w:tc>
        <w:tc>
          <w:tcPr>
            <w:tcW w:w="539" w:type="pct"/>
            <w:tcBorders>
              <w:top w:val="nil"/>
              <w:left w:val="nil"/>
              <w:bottom w:val="single" w:color="D4D4D4" w:sz="4" w:space="0"/>
              <w:right w:val="single" w:color="D4D4D4" w:sz="4" w:space="0"/>
            </w:tcBorders>
            <w:shd w:val="clear" w:color="auto" w:fill="FFFFFF"/>
            <w:noWrap/>
            <w:vAlign w:val="center"/>
          </w:tcPr>
          <w:p w14:paraId="2DD92B9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58.35</w:t>
            </w:r>
          </w:p>
        </w:tc>
        <w:tc>
          <w:tcPr>
            <w:tcW w:w="339" w:type="pct"/>
            <w:tcBorders>
              <w:top w:val="nil"/>
              <w:left w:val="nil"/>
              <w:bottom w:val="single" w:color="D4D4D4" w:sz="4" w:space="0"/>
              <w:right w:val="single" w:color="D4D4D4" w:sz="4" w:space="0"/>
            </w:tcBorders>
            <w:shd w:val="clear" w:color="auto" w:fill="FFFFFF"/>
            <w:noWrap/>
            <w:vAlign w:val="center"/>
          </w:tcPr>
          <w:p w14:paraId="08A8163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58.35</w:t>
            </w:r>
          </w:p>
        </w:tc>
        <w:tc>
          <w:tcPr>
            <w:tcW w:w="339" w:type="pct"/>
            <w:tcBorders>
              <w:top w:val="nil"/>
              <w:left w:val="nil"/>
              <w:bottom w:val="single" w:color="D4D4D4" w:sz="4" w:space="0"/>
              <w:right w:val="single" w:color="D4D4D4" w:sz="4" w:space="0"/>
            </w:tcBorders>
            <w:shd w:val="clear" w:color="auto" w:fill="FFFFFF"/>
            <w:noWrap/>
            <w:vAlign w:val="center"/>
          </w:tcPr>
          <w:p w14:paraId="5E81FBF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58.35</w:t>
            </w:r>
          </w:p>
        </w:tc>
        <w:tc>
          <w:tcPr>
            <w:tcW w:w="339" w:type="pct"/>
            <w:tcBorders>
              <w:top w:val="nil"/>
              <w:left w:val="nil"/>
              <w:bottom w:val="single" w:color="D4D4D4" w:sz="4" w:space="0"/>
              <w:right w:val="single" w:color="D4D4D4" w:sz="4" w:space="0"/>
            </w:tcBorders>
            <w:shd w:val="clear" w:color="auto" w:fill="FFFFFF"/>
            <w:noWrap/>
            <w:vAlign w:val="center"/>
          </w:tcPr>
          <w:p w14:paraId="6CC8F04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40" w:type="pct"/>
            <w:tcBorders>
              <w:top w:val="nil"/>
              <w:left w:val="nil"/>
              <w:bottom w:val="single" w:color="D4D4D4" w:sz="4" w:space="0"/>
              <w:right w:val="single" w:color="D4D4D4" w:sz="4" w:space="0"/>
            </w:tcBorders>
            <w:shd w:val="clear" w:color="auto" w:fill="FFFFFF"/>
            <w:noWrap/>
            <w:vAlign w:val="center"/>
          </w:tcPr>
          <w:p w14:paraId="5D3F00D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4B18B4A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3E4A7F8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1E459DE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4C6555D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58.35</w:t>
            </w:r>
          </w:p>
        </w:tc>
        <w:tc>
          <w:tcPr>
            <w:tcW w:w="339" w:type="pct"/>
            <w:tcBorders>
              <w:top w:val="nil"/>
              <w:left w:val="nil"/>
              <w:bottom w:val="single" w:color="D4D4D4" w:sz="4" w:space="0"/>
              <w:right w:val="single" w:color="D4D4D4" w:sz="4" w:space="0"/>
            </w:tcBorders>
            <w:shd w:val="clear" w:color="auto" w:fill="FFFFFF"/>
            <w:noWrap/>
            <w:vAlign w:val="center"/>
          </w:tcPr>
          <w:p w14:paraId="543E174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58.35</w:t>
            </w:r>
          </w:p>
        </w:tc>
        <w:tc>
          <w:tcPr>
            <w:tcW w:w="339" w:type="pct"/>
            <w:tcBorders>
              <w:top w:val="nil"/>
              <w:left w:val="nil"/>
              <w:bottom w:val="single" w:color="D4D4D4" w:sz="4" w:space="0"/>
              <w:right w:val="single" w:color="D4D4D4" w:sz="4" w:space="0"/>
            </w:tcBorders>
            <w:shd w:val="clear" w:color="auto" w:fill="FFFFFF"/>
            <w:noWrap/>
            <w:vAlign w:val="center"/>
          </w:tcPr>
          <w:p w14:paraId="4D2E609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58.35</w:t>
            </w:r>
          </w:p>
        </w:tc>
        <w:tc>
          <w:tcPr>
            <w:tcW w:w="340" w:type="pct"/>
            <w:tcBorders>
              <w:top w:val="nil"/>
              <w:left w:val="nil"/>
              <w:bottom w:val="single" w:color="D4D4D4" w:sz="4" w:space="0"/>
              <w:right w:val="single" w:color="D4D4D4" w:sz="4" w:space="0"/>
            </w:tcBorders>
            <w:shd w:val="clear" w:color="auto" w:fill="FFFFFF"/>
            <w:noWrap/>
            <w:vAlign w:val="center"/>
          </w:tcPr>
          <w:p w14:paraId="094BBCE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0044D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tcBorders>
              <w:top w:val="nil"/>
              <w:left w:val="nil"/>
              <w:bottom w:val="single" w:color="D4D4D4" w:sz="4" w:space="0"/>
              <w:right w:val="single" w:color="D4D4D4" w:sz="4" w:space="0"/>
            </w:tcBorders>
            <w:shd w:val="clear" w:color="auto" w:fill="FFFFFF"/>
            <w:noWrap/>
            <w:vAlign w:val="center"/>
          </w:tcPr>
          <w:p w14:paraId="78398DD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2023南京马拉松医疗保障项目</w:t>
            </w:r>
          </w:p>
        </w:tc>
        <w:tc>
          <w:tcPr>
            <w:tcW w:w="539" w:type="pct"/>
            <w:tcBorders>
              <w:top w:val="nil"/>
              <w:left w:val="nil"/>
              <w:bottom w:val="single" w:color="D4D4D4" w:sz="4" w:space="0"/>
              <w:right w:val="single" w:color="D4D4D4" w:sz="4" w:space="0"/>
            </w:tcBorders>
            <w:shd w:val="clear" w:color="auto" w:fill="FFFFFF"/>
            <w:noWrap/>
            <w:vAlign w:val="center"/>
          </w:tcPr>
          <w:p w14:paraId="167F907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50.00</w:t>
            </w:r>
          </w:p>
        </w:tc>
        <w:tc>
          <w:tcPr>
            <w:tcW w:w="339" w:type="pct"/>
            <w:tcBorders>
              <w:top w:val="nil"/>
              <w:left w:val="nil"/>
              <w:bottom w:val="single" w:color="D4D4D4" w:sz="4" w:space="0"/>
              <w:right w:val="single" w:color="D4D4D4" w:sz="4" w:space="0"/>
            </w:tcBorders>
            <w:shd w:val="clear" w:color="auto" w:fill="FFFFFF"/>
            <w:noWrap/>
            <w:vAlign w:val="center"/>
          </w:tcPr>
          <w:p w14:paraId="0DAB2F1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42EE661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4B6FA8C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50.00</w:t>
            </w:r>
          </w:p>
        </w:tc>
        <w:tc>
          <w:tcPr>
            <w:tcW w:w="340" w:type="pct"/>
            <w:tcBorders>
              <w:top w:val="nil"/>
              <w:left w:val="nil"/>
              <w:bottom w:val="single" w:color="D4D4D4" w:sz="4" w:space="0"/>
              <w:right w:val="single" w:color="D4D4D4" w:sz="4" w:space="0"/>
            </w:tcBorders>
            <w:shd w:val="clear" w:color="auto" w:fill="FFFFFF"/>
            <w:noWrap/>
            <w:vAlign w:val="center"/>
          </w:tcPr>
          <w:p w14:paraId="1F9C1AE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3258071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50.00</w:t>
            </w:r>
          </w:p>
        </w:tc>
        <w:tc>
          <w:tcPr>
            <w:tcW w:w="339" w:type="pct"/>
            <w:tcBorders>
              <w:top w:val="nil"/>
              <w:left w:val="nil"/>
              <w:bottom w:val="single" w:color="D4D4D4" w:sz="4" w:space="0"/>
              <w:right w:val="single" w:color="D4D4D4" w:sz="4" w:space="0"/>
            </w:tcBorders>
            <w:shd w:val="clear" w:color="auto" w:fill="FFFFFF"/>
            <w:noWrap/>
            <w:vAlign w:val="center"/>
          </w:tcPr>
          <w:p w14:paraId="27BF87A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50.00</w:t>
            </w:r>
          </w:p>
        </w:tc>
        <w:tc>
          <w:tcPr>
            <w:tcW w:w="339" w:type="pct"/>
            <w:tcBorders>
              <w:top w:val="nil"/>
              <w:left w:val="nil"/>
              <w:bottom w:val="single" w:color="D4D4D4" w:sz="4" w:space="0"/>
              <w:right w:val="single" w:color="D4D4D4" w:sz="4" w:space="0"/>
            </w:tcBorders>
            <w:shd w:val="clear" w:color="auto" w:fill="FFFFFF"/>
            <w:noWrap/>
            <w:vAlign w:val="center"/>
          </w:tcPr>
          <w:p w14:paraId="65A416C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67CCC07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2272C4D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6380CAF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40" w:type="pct"/>
            <w:tcBorders>
              <w:top w:val="nil"/>
              <w:left w:val="nil"/>
              <w:bottom w:val="single" w:color="D4D4D4" w:sz="4" w:space="0"/>
              <w:right w:val="single" w:color="D4D4D4" w:sz="4" w:space="0"/>
            </w:tcBorders>
            <w:shd w:val="clear" w:color="auto" w:fill="FFFFFF"/>
            <w:noWrap/>
            <w:vAlign w:val="center"/>
          </w:tcPr>
          <w:p w14:paraId="2FFF1F7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58586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tcBorders>
              <w:top w:val="nil"/>
              <w:left w:val="nil"/>
              <w:bottom w:val="single" w:color="D4D4D4" w:sz="4" w:space="0"/>
              <w:right w:val="single" w:color="D4D4D4" w:sz="4" w:space="0"/>
            </w:tcBorders>
            <w:shd w:val="clear" w:color="auto" w:fill="FFFFFF"/>
            <w:noWrap/>
            <w:vAlign w:val="center"/>
          </w:tcPr>
          <w:p w14:paraId="4A28780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2023年公共卫生服务专项</w:t>
            </w:r>
          </w:p>
        </w:tc>
        <w:tc>
          <w:tcPr>
            <w:tcW w:w="539" w:type="pct"/>
            <w:tcBorders>
              <w:top w:val="nil"/>
              <w:left w:val="nil"/>
              <w:bottom w:val="single" w:color="D4D4D4" w:sz="4" w:space="0"/>
              <w:right w:val="single" w:color="D4D4D4" w:sz="4" w:space="0"/>
            </w:tcBorders>
            <w:shd w:val="clear" w:color="auto" w:fill="FFFFFF"/>
            <w:noWrap/>
            <w:vAlign w:val="center"/>
          </w:tcPr>
          <w:p w14:paraId="510CB4D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3,788.82</w:t>
            </w:r>
          </w:p>
        </w:tc>
        <w:tc>
          <w:tcPr>
            <w:tcW w:w="339" w:type="pct"/>
            <w:tcBorders>
              <w:top w:val="nil"/>
              <w:left w:val="nil"/>
              <w:bottom w:val="single" w:color="D4D4D4" w:sz="4" w:space="0"/>
              <w:right w:val="single" w:color="D4D4D4" w:sz="4" w:space="0"/>
            </w:tcBorders>
            <w:shd w:val="clear" w:color="auto" w:fill="FFFFFF"/>
            <w:noWrap/>
            <w:vAlign w:val="center"/>
          </w:tcPr>
          <w:p w14:paraId="730ED87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1139E12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4344562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3,788.82</w:t>
            </w:r>
          </w:p>
        </w:tc>
        <w:tc>
          <w:tcPr>
            <w:tcW w:w="340" w:type="pct"/>
            <w:tcBorders>
              <w:top w:val="nil"/>
              <w:left w:val="nil"/>
              <w:bottom w:val="single" w:color="D4D4D4" w:sz="4" w:space="0"/>
              <w:right w:val="single" w:color="D4D4D4" w:sz="4" w:space="0"/>
            </w:tcBorders>
            <w:shd w:val="clear" w:color="auto" w:fill="FFFFFF"/>
            <w:noWrap/>
            <w:vAlign w:val="center"/>
          </w:tcPr>
          <w:p w14:paraId="64F7620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5697937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3,788.82</w:t>
            </w:r>
          </w:p>
        </w:tc>
        <w:tc>
          <w:tcPr>
            <w:tcW w:w="339" w:type="pct"/>
            <w:tcBorders>
              <w:top w:val="nil"/>
              <w:left w:val="nil"/>
              <w:bottom w:val="single" w:color="D4D4D4" w:sz="4" w:space="0"/>
              <w:right w:val="single" w:color="D4D4D4" w:sz="4" w:space="0"/>
            </w:tcBorders>
            <w:shd w:val="clear" w:color="auto" w:fill="FFFFFF"/>
            <w:noWrap/>
            <w:vAlign w:val="center"/>
          </w:tcPr>
          <w:p w14:paraId="30DA9E1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3,788.82</w:t>
            </w:r>
          </w:p>
        </w:tc>
        <w:tc>
          <w:tcPr>
            <w:tcW w:w="339" w:type="pct"/>
            <w:tcBorders>
              <w:top w:val="nil"/>
              <w:left w:val="nil"/>
              <w:bottom w:val="single" w:color="D4D4D4" w:sz="4" w:space="0"/>
              <w:right w:val="single" w:color="D4D4D4" w:sz="4" w:space="0"/>
            </w:tcBorders>
            <w:shd w:val="clear" w:color="auto" w:fill="FFFFFF"/>
            <w:noWrap/>
            <w:vAlign w:val="center"/>
          </w:tcPr>
          <w:p w14:paraId="387DDE6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712AB04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43596BF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22D1141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40" w:type="pct"/>
            <w:tcBorders>
              <w:top w:val="nil"/>
              <w:left w:val="nil"/>
              <w:bottom w:val="single" w:color="D4D4D4" w:sz="4" w:space="0"/>
              <w:right w:val="single" w:color="D4D4D4" w:sz="4" w:space="0"/>
            </w:tcBorders>
            <w:shd w:val="clear" w:color="auto" w:fill="FFFFFF"/>
            <w:noWrap/>
            <w:vAlign w:val="center"/>
          </w:tcPr>
          <w:p w14:paraId="5185E67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2DCBB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tcBorders>
              <w:top w:val="nil"/>
              <w:left w:val="nil"/>
              <w:bottom w:val="single" w:color="D4D4D4" w:sz="4" w:space="0"/>
              <w:right w:val="single" w:color="D4D4D4" w:sz="4" w:space="0"/>
            </w:tcBorders>
            <w:shd w:val="clear" w:color="auto" w:fill="FFFFFF"/>
            <w:noWrap/>
            <w:vAlign w:val="center"/>
          </w:tcPr>
          <w:p w14:paraId="189A951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2024年基层卫生医疗机构补助</w:t>
            </w:r>
          </w:p>
        </w:tc>
        <w:tc>
          <w:tcPr>
            <w:tcW w:w="539" w:type="pct"/>
            <w:tcBorders>
              <w:top w:val="nil"/>
              <w:left w:val="nil"/>
              <w:bottom w:val="single" w:color="D4D4D4" w:sz="4" w:space="0"/>
              <w:right w:val="single" w:color="D4D4D4" w:sz="4" w:space="0"/>
            </w:tcBorders>
            <w:shd w:val="clear" w:color="auto" w:fill="FFFFFF"/>
            <w:noWrap/>
            <w:vAlign w:val="center"/>
          </w:tcPr>
          <w:p w14:paraId="7986B25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827.81</w:t>
            </w:r>
          </w:p>
        </w:tc>
        <w:tc>
          <w:tcPr>
            <w:tcW w:w="339" w:type="pct"/>
            <w:tcBorders>
              <w:top w:val="nil"/>
              <w:left w:val="nil"/>
              <w:bottom w:val="single" w:color="D4D4D4" w:sz="4" w:space="0"/>
              <w:right w:val="single" w:color="D4D4D4" w:sz="4" w:space="0"/>
            </w:tcBorders>
            <w:shd w:val="clear" w:color="auto" w:fill="FFFFFF"/>
            <w:noWrap/>
            <w:vAlign w:val="center"/>
          </w:tcPr>
          <w:p w14:paraId="68DFE80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5.81</w:t>
            </w:r>
          </w:p>
        </w:tc>
        <w:tc>
          <w:tcPr>
            <w:tcW w:w="339" w:type="pct"/>
            <w:tcBorders>
              <w:top w:val="nil"/>
              <w:left w:val="nil"/>
              <w:bottom w:val="single" w:color="D4D4D4" w:sz="4" w:space="0"/>
              <w:right w:val="single" w:color="D4D4D4" w:sz="4" w:space="0"/>
            </w:tcBorders>
            <w:shd w:val="clear" w:color="auto" w:fill="FFFFFF"/>
            <w:noWrap/>
            <w:vAlign w:val="center"/>
          </w:tcPr>
          <w:p w14:paraId="6DB80CE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5.81</w:t>
            </w:r>
          </w:p>
        </w:tc>
        <w:tc>
          <w:tcPr>
            <w:tcW w:w="339" w:type="pct"/>
            <w:tcBorders>
              <w:top w:val="nil"/>
              <w:left w:val="nil"/>
              <w:bottom w:val="single" w:color="D4D4D4" w:sz="4" w:space="0"/>
              <w:right w:val="single" w:color="D4D4D4" w:sz="4" w:space="0"/>
            </w:tcBorders>
            <w:shd w:val="clear" w:color="auto" w:fill="FFFFFF"/>
            <w:noWrap/>
            <w:vAlign w:val="center"/>
          </w:tcPr>
          <w:p w14:paraId="0B139E0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822.00</w:t>
            </w:r>
          </w:p>
        </w:tc>
        <w:tc>
          <w:tcPr>
            <w:tcW w:w="340" w:type="pct"/>
            <w:tcBorders>
              <w:top w:val="nil"/>
              <w:left w:val="nil"/>
              <w:bottom w:val="single" w:color="D4D4D4" w:sz="4" w:space="0"/>
              <w:right w:val="single" w:color="D4D4D4" w:sz="4" w:space="0"/>
            </w:tcBorders>
            <w:shd w:val="clear" w:color="auto" w:fill="FFFFFF"/>
            <w:noWrap/>
            <w:vAlign w:val="center"/>
          </w:tcPr>
          <w:p w14:paraId="19EE22C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0C5DB3C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822.00</w:t>
            </w:r>
          </w:p>
        </w:tc>
        <w:tc>
          <w:tcPr>
            <w:tcW w:w="339" w:type="pct"/>
            <w:tcBorders>
              <w:top w:val="nil"/>
              <w:left w:val="nil"/>
              <w:bottom w:val="single" w:color="D4D4D4" w:sz="4" w:space="0"/>
              <w:right w:val="single" w:color="D4D4D4" w:sz="4" w:space="0"/>
            </w:tcBorders>
            <w:shd w:val="clear" w:color="auto" w:fill="FFFFFF"/>
            <w:noWrap/>
            <w:vAlign w:val="center"/>
          </w:tcPr>
          <w:p w14:paraId="3E8FD1E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822.00</w:t>
            </w:r>
          </w:p>
        </w:tc>
        <w:tc>
          <w:tcPr>
            <w:tcW w:w="339" w:type="pct"/>
            <w:tcBorders>
              <w:top w:val="nil"/>
              <w:left w:val="nil"/>
              <w:bottom w:val="single" w:color="D4D4D4" w:sz="4" w:space="0"/>
              <w:right w:val="single" w:color="D4D4D4" w:sz="4" w:space="0"/>
            </w:tcBorders>
            <w:shd w:val="clear" w:color="auto" w:fill="FFFFFF"/>
            <w:noWrap/>
            <w:vAlign w:val="center"/>
          </w:tcPr>
          <w:p w14:paraId="6DB9EF0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5168997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5.81</w:t>
            </w:r>
          </w:p>
        </w:tc>
        <w:tc>
          <w:tcPr>
            <w:tcW w:w="339" w:type="pct"/>
            <w:tcBorders>
              <w:top w:val="nil"/>
              <w:left w:val="nil"/>
              <w:bottom w:val="single" w:color="D4D4D4" w:sz="4" w:space="0"/>
              <w:right w:val="single" w:color="D4D4D4" w:sz="4" w:space="0"/>
            </w:tcBorders>
            <w:shd w:val="clear" w:color="auto" w:fill="FFFFFF"/>
            <w:noWrap/>
            <w:vAlign w:val="center"/>
          </w:tcPr>
          <w:p w14:paraId="6294F3F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5.81</w:t>
            </w:r>
          </w:p>
        </w:tc>
        <w:tc>
          <w:tcPr>
            <w:tcW w:w="339" w:type="pct"/>
            <w:tcBorders>
              <w:top w:val="nil"/>
              <w:left w:val="nil"/>
              <w:bottom w:val="single" w:color="D4D4D4" w:sz="4" w:space="0"/>
              <w:right w:val="single" w:color="D4D4D4" w:sz="4" w:space="0"/>
            </w:tcBorders>
            <w:shd w:val="clear" w:color="auto" w:fill="FFFFFF"/>
            <w:noWrap/>
            <w:vAlign w:val="center"/>
          </w:tcPr>
          <w:p w14:paraId="41BFE5B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5.81</w:t>
            </w:r>
          </w:p>
        </w:tc>
        <w:tc>
          <w:tcPr>
            <w:tcW w:w="340" w:type="pct"/>
            <w:tcBorders>
              <w:top w:val="nil"/>
              <w:left w:val="nil"/>
              <w:bottom w:val="single" w:color="D4D4D4" w:sz="4" w:space="0"/>
              <w:right w:val="single" w:color="D4D4D4" w:sz="4" w:space="0"/>
            </w:tcBorders>
            <w:shd w:val="clear" w:color="auto" w:fill="FFFFFF"/>
            <w:noWrap/>
            <w:vAlign w:val="center"/>
          </w:tcPr>
          <w:p w14:paraId="062BC22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75F8D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tcBorders>
              <w:top w:val="nil"/>
              <w:left w:val="nil"/>
              <w:bottom w:val="single" w:color="D4D4D4" w:sz="4" w:space="0"/>
              <w:right w:val="single" w:color="D4D4D4" w:sz="4" w:space="0"/>
            </w:tcBorders>
            <w:shd w:val="clear" w:color="auto" w:fill="FFFFFF"/>
            <w:noWrap/>
            <w:vAlign w:val="center"/>
          </w:tcPr>
          <w:p w14:paraId="4A85D5A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2023年计划生育奖励补助</w:t>
            </w:r>
          </w:p>
        </w:tc>
        <w:tc>
          <w:tcPr>
            <w:tcW w:w="539" w:type="pct"/>
            <w:tcBorders>
              <w:top w:val="nil"/>
              <w:left w:val="nil"/>
              <w:bottom w:val="single" w:color="D4D4D4" w:sz="4" w:space="0"/>
              <w:right w:val="single" w:color="D4D4D4" w:sz="4" w:space="0"/>
            </w:tcBorders>
            <w:shd w:val="clear" w:color="auto" w:fill="FFFFFF"/>
            <w:noWrap/>
            <w:vAlign w:val="center"/>
          </w:tcPr>
          <w:p w14:paraId="0E65614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10,108.65</w:t>
            </w:r>
          </w:p>
        </w:tc>
        <w:tc>
          <w:tcPr>
            <w:tcW w:w="339" w:type="pct"/>
            <w:tcBorders>
              <w:top w:val="nil"/>
              <w:left w:val="nil"/>
              <w:bottom w:val="single" w:color="D4D4D4" w:sz="4" w:space="0"/>
              <w:right w:val="single" w:color="D4D4D4" w:sz="4" w:space="0"/>
            </w:tcBorders>
            <w:shd w:val="clear" w:color="auto" w:fill="FFFFFF"/>
            <w:noWrap/>
            <w:vAlign w:val="center"/>
          </w:tcPr>
          <w:p w14:paraId="7A481D4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6FC53E2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6C7AF17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10,108.65</w:t>
            </w:r>
          </w:p>
        </w:tc>
        <w:tc>
          <w:tcPr>
            <w:tcW w:w="340" w:type="pct"/>
            <w:tcBorders>
              <w:top w:val="nil"/>
              <w:left w:val="nil"/>
              <w:bottom w:val="single" w:color="D4D4D4" w:sz="4" w:space="0"/>
              <w:right w:val="single" w:color="D4D4D4" w:sz="4" w:space="0"/>
            </w:tcBorders>
            <w:shd w:val="clear" w:color="auto" w:fill="FFFFFF"/>
            <w:noWrap/>
            <w:vAlign w:val="center"/>
          </w:tcPr>
          <w:p w14:paraId="45A349C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68179CD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10,108.65</w:t>
            </w:r>
          </w:p>
        </w:tc>
        <w:tc>
          <w:tcPr>
            <w:tcW w:w="339" w:type="pct"/>
            <w:tcBorders>
              <w:top w:val="nil"/>
              <w:left w:val="nil"/>
              <w:bottom w:val="single" w:color="D4D4D4" w:sz="4" w:space="0"/>
              <w:right w:val="single" w:color="D4D4D4" w:sz="4" w:space="0"/>
            </w:tcBorders>
            <w:shd w:val="clear" w:color="auto" w:fill="FFFFFF"/>
            <w:noWrap/>
            <w:vAlign w:val="center"/>
          </w:tcPr>
          <w:p w14:paraId="6183138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10,108.65</w:t>
            </w:r>
          </w:p>
        </w:tc>
        <w:tc>
          <w:tcPr>
            <w:tcW w:w="339" w:type="pct"/>
            <w:tcBorders>
              <w:top w:val="nil"/>
              <w:left w:val="nil"/>
              <w:bottom w:val="single" w:color="D4D4D4" w:sz="4" w:space="0"/>
              <w:right w:val="single" w:color="D4D4D4" w:sz="4" w:space="0"/>
            </w:tcBorders>
            <w:shd w:val="clear" w:color="auto" w:fill="FFFFFF"/>
            <w:noWrap/>
            <w:vAlign w:val="center"/>
          </w:tcPr>
          <w:p w14:paraId="36998BF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063702F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52AF95A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5417882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40" w:type="pct"/>
            <w:tcBorders>
              <w:top w:val="nil"/>
              <w:left w:val="nil"/>
              <w:bottom w:val="single" w:color="D4D4D4" w:sz="4" w:space="0"/>
              <w:right w:val="single" w:color="D4D4D4" w:sz="4" w:space="0"/>
            </w:tcBorders>
            <w:shd w:val="clear" w:color="auto" w:fill="FFFFFF"/>
            <w:noWrap/>
            <w:vAlign w:val="center"/>
          </w:tcPr>
          <w:p w14:paraId="2A50D22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0261E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tcBorders>
              <w:top w:val="nil"/>
              <w:left w:val="nil"/>
              <w:bottom w:val="single" w:color="D4D4D4" w:sz="4" w:space="0"/>
              <w:right w:val="single" w:color="D4D4D4" w:sz="4" w:space="0"/>
            </w:tcBorders>
            <w:shd w:val="clear" w:color="auto" w:fill="FFFFFF"/>
            <w:noWrap/>
            <w:vAlign w:val="center"/>
          </w:tcPr>
          <w:p w14:paraId="5171873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2023年市属公立医院补助</w:t>
            </w:r>
          </w:p>
        </w:tc>
        <w:tc>
          <w:tcPr>
            <w:tcW w:w="539" w:type="pct"/>
            <w:tcBorders>
              <w:top w:val="nil"/>
              <w:left w:val="nil"/>
              <w:bottom w:val="single" w:color="D4D4D4" w:sz="4" w:space="0"/>
              <w:right w:val="single" w:color="D4D4D4" w:sz="4" w:space="0"/>
            </w:tcBorders>
            <w:shd w:val="clear" w:color="auto" w:fill="FFFFFF"/>
            <w:noWrap/>
            <w:vAlign w:val="center"/>
          </w:tcPr>
          <w:p w14:paraId="5D40D6A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1,689.00</w:t>
            </w:r>
          </w:p>
        </w:tc>
        <w:tc>
          <w:tcPr>
            <w:tcW w:w="339" w:type="pct"/>
            <w:tcBorders>
              <w:top w:val="nil"/>
              <w:left w:val="nil"/>
              <w:bottom w:val="single" w:color="D4D4D4" w:sz="4" w:space="0"/>
              <w:right w:val="single" w:color="D4D4D4" w:sz="4" w:space="0"/>
            </w:tcBorders>
            <w:shd w:val="clear" w:color="auto" w:fill="FFFFFF"/>
            <w:noWrap/>
            <w:vAlign w:val="center"/>
          </w:tcPr>
          <w:p w14:paraId="4084E9A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6CF1471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020369C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1,689.00</w:t>
            </w:r>
          </w:p>
        </w:tc>
        <w:tc>
          <w:tcPr>
            <w:tcW w:w="340" w:type="pct"/>
            <w:tcBorders>
              <w:top w:val="nil"/>
              <w:left w:val="nil"/>
              <w:bottom w:val="single" w:color="D4D4D4" w:sz="4" w:space="0"/>
              <w:right w:val="single" w:color="D4D4D4" w:sz="4" w:space="0"/>
            </w:tcBorders>
            <w:shd w:val="clear" w:color="auto" w:fill="FFFFFF"/>
            <w:noWrap/>
            <w:vAlign w:val="center"/>
          </w:tcPr>
          <w:p w14:paraId="0858C44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478E400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1,689.00</w:t>
            </w:r>
          </w:p>
        </w:tc>
        <w:tc>
          <w:tcPr>
            <w:tcW w:w="339" w:type="pct"/>
            <w:tcBorders>
              <w:top w:val="nil"/>
              <w:left w:val="nil"/>
              <w:bottom w:val="single" w:color="D4D4D4" w:sz="4" w:space="0"/>
              <w:right w:val="single" w:color="D4D4D4" w:sz="4" w:space="0"/>
            </w:tcBorders>
            <w:shd w:val="clear" w:color="auto" w:fill="FFFFFF"/>
            <w:noWrap/>
            <w:vAlign w:val="center"/>
          </w:tcPr>
          <w:p w14:paraId="21D2687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1,689.00</w:t>
            </w:r>
          </w:p>
        </w:tc>
        <w:tc>
          <w:tcPr>
            <w:tcW w:w="339" w:type="pct"/>
            <w:tcBorders>
              <w:top w:val="nil"/>
              <w:left w:val="nil"/>
              <w:bottom w:val="single" w:color="D4D4D4" w:sz="4" w:space="0"/>
              <w:right w:val="single" w:color="D4D4D4" w:sz="4" w:space="0"/>
            </w:tcBorders>
            <w:shd w:val="clear" w:color="auto" w:fill="FFFFFF"/>
            <w:noWrap/>
            <w:vAlign w:val="center"/>
          </w:tcPr>
          <w:p w14:paraId="1A951CE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7E48F6D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073EE9C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60557FF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40" w:type="pct"/>
            <w:tcBorders>
              <w:top w:val="nil"/>
              <w:left w:val="nil"/>
              <w:bottom w:val="single" w:color="D4D4D4" w:sz="4" w:space="0"/>
              <w:right w:val="single" w:color="D4D4D4" w:sz="4" w:space="0"/>
            </w:tcBorders>
            <w:shd w:val="clear" w:color="auto" w:fill="FFFFFF"/>
            <w:noWrap/>
            <w:vAlign w:val="center"/>
          </w:tcPr>
          <w:p w14:paraId="02AEE15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01D36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tcBorders>
              <w:top w:val="nil"/>
              <w:left w:val="nil"/>
              <w:bottom w:val="single" w:color="D4D4D4" w:sz="4" w:space="0"/>
              <w:right w:val="single" w:color="D4D4D4" w:sz="4" w:space="0"/>
            </w:tcBorders>
            <w:shd w:val="clear" w:color="auto" w:fill="FFFFFF"/>
            <w:noWrap/>
            <w:vAlign w:val="center"/>
          </w:tcPr>
          <w:p w14:paraId="0A4CF46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2023年卫生科技发展专项</w:t>
            </w:r>
          </w:p>
        </w:tc>
        <w:tc>
          <w:tcPr>
            <w:tcW w:w="539" w:type="pct"/>
            <w:tcBorders>
              <w:top w:val="nil"/>
              <w:left w:val="nil"/>
              <w:bottom w:val="single" w:color="D4D4D4" w:sz="4" w:space="0"/>
              <w:right w:val="single" w:color="D4D4D4" w:sz="4" w:space="0"/>
            </w:tcBorders>
            <w:shd w:val="clear" w:color="auto" w:fill="FFFFFF"/>
            <w:noWrap/>
            <w:vAlign w:val="center"/>
          </w:tcPr>
          <w:p w14:paraId="57F83A1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6,349.87</w:t>
            </w:r>
          </w:p>
        </w:tc>
        <w:tc>
          <w:tcPr>
            <w:tcW w:w="339" w:type="pct"/>
            <w:tcBorders>
              <w:top w:val="nil"/>
              <w:left w:val="nil"/>
              <w:bottom w:val="single" w:color="D4D4D4" w:sz="4" w:space="0"/>
              <w:right w:val="single" w:color="D4D4D4" w:sz="4" w:space="0"/>
            </w:tcBorders>
            <w:shd w:val="clear" w:color="auto" w:fill="FFFFFF"/>
            <w:noWrap/>
            <w:vAlign w:val="center"/>
          </w:tcPr>
          <w:p w14:paraId="5B87821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7EBE4E6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0B57374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6,349.87</w:t>
            </w:r>
          </w:p>
        </w:tc>
        <w:tc>
          <w:tcPr>
            <w:tcW w:w="340" w:type="pct"/>
            <w:tcBorders>
              <w:top w:val="nil"/>
              <w:left w:val="nil"/>
              <w:bottom w:val="single" w:color="D4D4D4" w:sz="4" w:space="0"/>
              <w:right w:val="single" w:color="D4D4D4" w:sz="4" w:space="0"/>
            </w:tcBorders>
            <w:shd w:val="clear" w:color="auto" w:fill="FFFFFF"/>
            <w:noWrap/>
            <w:vAlign w:val="center"/>
          </w:tcPr>
          <w:p w14:paraId="66A1D97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6F451A5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6,349.87</w:t>
            </w:r>
          </w:p>
        </w:tc>
        <w:tc>
          <w:tcPr>
            <w:tcW w:w="339" w:type="pct"/>
            <w:tcBorders>
              <w:top w:val="nil"/>
              <w:left w:val="nil"/>
              <w:bottom w:val="single" w:color="D4D4D4" w:sz="4" w:space="0"/>
              <w:right w:val="single" w:color="D4D4D4" w:sz="4" w:space="0"/>
            </w:tcBorders>
            <w:shd w:val="clear" w:color="auto" w:fill="FFFFFF"/>
            <w:noWrap/>
            <w:vAlign w:val="center"/>
          </w:tcPr>
          <w:p w14:paraId="00406FD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6,349.87</w:t>
            </w:r>
          </w:p>
        </w:tc>
        <w:tc>
          <w:tcPr>
            <w:tcW w:w="339" w:type="pct"/>
            <w:tcBorders>
              <w:top w:val="nil"/>
              <w:left w:val="nil"/>
              <w:bottom w:val="single" w:color="D4D4D4" w:sz="4" w:space="0"/>
              <w:right w:val="single" w:color="D4D4D4" w:sz="4" w:space="0"/>
            </w:tcBorders>
            <w:shd w:val="clear" w:color="auto" w:fill="FFFFFF"/>
            <w:noWrap/>
            <w:vAlign w:val="center"/>
          </w:tcPr>
          <w:p w14:paraId="7377535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0F81D07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3F8B987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3D4DE0C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40" w:type="pct"/>
            <w:tcBorders>
              <w:top w:val="nil"/>
              <w:left w:val="nil"/>
              <w:bottom w:val="single" w:color="D4D4D4" w:sz="4" w:space="0"/>
              <w:right w:val="single" w:color="D4D4D4" w:sz="4" w:space="0"/>
            </w:tcBorders>
            <w:shd w:val="clear" w:color="auto" w:fill="FFFFFF"/>
            <w:noWrap/>
            <w:vAlign w:val="center"/>
          </w:tcPr>
          <w:p w14:paraId="1EDBD7A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0DBF8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tcBorders>
              <w:top w:val="nil"/>
              <w:left w:val="nil"/>
              <w:bottom w:val="single" w:color="D4D4D4" w:sz="4" w:space="0"/>
              <w:right w:val="single" w:color="D4D4D4" w:sz="4" w:space="0"/>
            </w:tcBorders>
            <w:shd w:val="clear" w:color="auto" w:fill="FFFFFF"/>
            <w:noWrap/>
            <w:vAlign w:val="center"/>
          </w:tcPr>
          <w:p w14:paraId="4D4F0A7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2023年疫情防控常态化保障专项</w:t>
            </w:r>
          </w:p>
        </w:tc>
        <w:tc>
          <w:tcPr>
            <w:tcW w:w="539" w:type="pct"/>
            <w:tcBorders>
              <w:top w:val="nil"/>
              <w:left w:val="nil"/>
              <w:bottom w:val="single" w:color="D4D4D4" w:sz="4" w:space="0"/>
              <w:right w:val="single" w:color="D4D4D4" w:sz="4" w:space="0"/>
            </w:tcBorders>
            <w:shd w:val="clear" w:color="auto" w:fill="FFFFFF"/>
            <w:noWrap/>
            <w:vAlign w:val="center"/>
          </w:tcPr>
          <w:p w14:paraId="6C7D21E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6,473.54</w:t>
            </w:r>
          </w:p>
        </w:tc>
        <w:tc>
          <w:tcPr>
            <w:tcW w:w="339" w:type="pct"/>
            <w:tcBorders>
              <w:top w:val="nil"/>
              <w:left w:val="nil"/>
              <w:bottom w:val="single" w:color="D4D4D4" w:sz="4" w:space="0"/>
              <w:right w:val="single" w:color="D4D4D4" w:sz="4" w:space="0"/>
            </w:tcBorders>
            <w:shd w:val="clear" w:color="auto" w:fill="FFFFFF"/>
            <w:noWrap/>
            <w:vAlign w:val="center"/>
          </w:tcPr>
          <w:p w14:paraId="6EF409C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04FE2DD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2EBB399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6,473.54</w:t>
            </w:r>
          </w:p>
        </w:tc>
        <w:tc>
          <w:tcPr>
            <w:tcW w:w="340" w:type="pct"/>
            <w:tcBorders>
              <w:top w:val="nil"/>
              <w:left w:val="nil"/>
              <w:bottom w:val="single" w:color="D4D4D4" w:sz="4" w:space="0"/>
              <w:right w:val="single" w:color="D4D4D4" w:sz="4" w:space="0"/>
            </w:tcBorders>
            <w:shd w:val="clear" w:color="auto" w:fill="FFFFFF"/>
            <w:noWrap/>
            <w:vAlign w:val="center"/>
          </w:tcPr>
          <w:p w14:paraId="4D6F149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64B0BFF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6,473.54</w:t>
            </w:r>
          </w:p>
        </w:tc>
        <w:tc>
          <w:tcPr>
            <w:tcW w:w="339" w:type="pct"/>
            <w:tcBorders>
              <w:top w:val="nil"/>
              <w:left w:val="nil"/>
              <w:bottom w:val="single" w:color="D4D4D4" w:sz="4" w:space="0"/>
              <w:right w:val="single" w:color="D4D4D4" w:sz="4" w:space="0"/>
            </w:tcBorders>
            <w:shd w:val="clear" w:color="auto" w:fill="FFFFFF"/>
            <w:noWrap/>
            <w:vAlign w:val="center"/>
          </w:tcPr>
          <w:p w14:paraId="4A170D6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6,473.54</w:t>
            </w:r>
          </w:p>
        </w:tc>
        <w:tc>
          <w:tcPr>
            <w:tcW w:w="339" w:type="pct"/>
            <w:tcBorders>
              <w:top w:val="nil"/>
              <w:left w:val="nil"/>
              <w:bottom w:val="single" w:color="D4D4D4" w:sz="4" w:space="0"/>
              <w:right w:val="single" w:color="D4D4D4" w:sz="4" w:space="0"/>
            </w:tcBorders>
            <w:shd w:val="clear" w:color="auto" w:fill="FFFFFF"/>
            <w:noWrap/>
            <w:vAlign w:val="center"/>
          </w:tcPr>
          <w:p w14:paraId="6A570DC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0ADEDEA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2AEC385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5B145D4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40" w:type="pct"/>
            <w:tcBorders>
              <w:top w:val="nil"/>
              <w:left w:val="nil"/>
              <w:bottom w:val="single" w:color="D4D4D4" w:sz="4" w:space="0"/>
              <w:right w:val="single" w:color="D4D4D4" w:sz="4" w:space="0"/>
            </w:tcBorders>
            <w:shd w:val="clear" w:color="auto" w:fill="FFFFFF"/>
            <w:noWrap/>
            <w:vAlign w:val="center"/>
          </w:tcPr>
          <w:p w14:paraId="2428AF1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73E30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tcBorders>
              <w:top w:val="nil"/>
              <w:left w:val="nil"/>
              <w:bottom w:val="single" w:color="D4D4D4" w:sz="4" w:space="0"/>
              <w:right w:val="single" w:color="D4D4D4" w:sz="4" w:space="0"/>
            </w:tcBorders>
            <w:shd w:val="clear" w:color="auto" w:fill="FFFFFF"/>
            <w:noWrap/>
            <w:vAlign w:val="center"/>
          </w:tcPr>
          <w:p w14:paraId="398F617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2023-食品药品安全专项资金</w:t>
            </w:r>
          </w:p>
        </w:tc>
        <w:tc>
          <w:tcPr>
            <w:tcW w:w="539" w:type="pct"/>
            <w:tcBorders>
              <w:top w:val="nil"/>
              <w:left w:val="nil"/>
              <w:bottom w:val="single" w:color="D4D4D4" w:sz="4" w:space="0"/>
              <w:right w:val="single" w:color="D4D4D4" w:sz="4" w:space="0"/>
            </w:tcBorders>
            <w:shd w:val="clear" w:color="auto" w:fill="FFFFFF"/>
            <w:noWrap/>
            <w:vAlign w:val="center"/>
          </w:tcPr>
          <w:p w14:paraId="64D93DC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8.44</w:t>
            </w:r>
          </w:p>
        </w:tc>
        <w:tc>
          <w:tcPr>
            <w:tcW w:w="339" w:type="pct"/>
            <w:tcBorders>
              <w:top w:val="nil"/>
              <w:left w:val="nil"/>
              <w:bottom w:val="single" w:color="D4D4D4" w:sz="4" w:space="0"/>
              <w:right w:val="single" w:color="D4D4D4" w:sz="4" w:space="0"/>
            </w:tcBorders>
            <w:shd w:val="clear" w:color="auto" w:fill="FFFFFF"/>
            <w:noWrap/>
            <w:vAlign w:val="center"/>
          </w:tcPr>
          <w:p w14:paraId="1FD5D7E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7557CEA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5BB70B3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8.44</w:t>
            </w:r>
          </w:p>
        </w:tc>
        <w:tc>
          <w:tcPr>
            <w:tcW w:w="340" w:type="pct"/>
            <w:tcBorders>
              <w:top w:val="nil"/>
              <w:left w:val="nil"/>
              <w:bottom w:val="single" w:color="D4D4D4" w:sz="4" w:space="0"/>
              <w:right w:val="single" w:color="D4D4D4" w:sz="4" w:space="0"/>
            </w:tcBorders>
            <w:shd w:val="clear" w:color="auto" w:fill="FFFFFF"/>
            <w:noWrap/>
            <w:vAlign w:val="center"/>
          </w:tcPr>
          <w:p w14:paraId="68A26C2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17B15A4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8.44</w:t>
            </w:r>
          </w:p>
        </w:tc>
        <w:tc>
          <w:tcPr>
            <w:tcW w:w="339" w:type="pct"/>
            <w:tcBorders>
              <w:top w:val="nil"/>
              <w:left w:val="nil"/>
              <w:bottom w:val="single" w:color="D4D4D4" w:sz="4" w:space="0"/>
              <w:right w:val="single" w:color="D4D4D4" w:sz="4" w:space="0"/>
            </w:tcBorders>
            <w:shd w:val="clear" w:color="auto" w:fill="FFFFFF"/>
            <w:noWrap/>
            <w:vAlign w:val="center"/>
          </w:tcPr>
          <w:p w14:paraId="5838002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8.44</w:t>
            </w:r>
          </w:p>
        </w:tc>
        <w:tc>
          <w:tcPr>
            <w:tcW w:w="339" w:type="pct"/>
            <w:tcBorders>
              <w:top w:val="nil"/>
              <w:left w:val="nil"/>
              <w:bottom w:val="single" w:color="D4D4D4" w:sz="4" w:space="0"/>
              <w:right w:val="single" w:color="D4D4D4" w:sz="4" w:space="0"/>
            </w:tcBorders>
            <w:shd w:val="clear" w:color="auto" w:fill="FFFFFF"/>
            <w:noWrap/>
            <w:vAlign w:val="center"/>
          </w:tcPr>
          <w:p w14:paraId="32DDF65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6E90B7D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7F0CAFC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5CDF1A9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40" w:type="pct"/>
            <w:tcBorders>
              <w:top w:val="nil"/>
              <w:left w:val="nil"/>
              <w:bottom w:val="single" w:color="D4D4D4" w:sz="4" w:space="0"/>
              <w:right w:val="single" w:color="D4D4D4" w:sz="4" w:space="0"/>
            </w:tcBorders>
            <w:shd w:val="clear" w:color="auto" w:fill="FFFFFF"/>
            <w:noWrap/>
            <w:vAlign w:val="center"/>
          </w:tcPr>
          <w:p w14:paraId="60A1CF2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7D338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tcBorders>
              <w:top w:val="nil"/>
              <w:left w:val="nil"/>
              <w:bottom w:val="single" w:color="D4D4D4" w:sz="4" w:space="0"/>
              <w:right w:val="single" w:color="D4D4D4" w:sz="4" w:space="0"/>
            </w:tcBorders>
            <w:shd w:val="clear" w:color="auto" w:fill="FFFFFF"/>
            <w:noWrap/>
            <w:vAlign w:val="center"/>
          </w:tcPr>
          <w:p w14:paraId="1F7AE96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党费专户</w:t>
            </w:r>
          </w:p>
        </w:tc>
        <w:tc>
          <w:tcPr>
            <w:tcW w:w="539" w:type="pct"/>
            <w:tcBorders>
              <w:top w:val="nil"/>
              <w:left w:val="nil"/>
              <w:bottom w:val="single" w:color="D4D4D4" w:sz="4" w:space="0"/>
              <w:right w:val="single" w:color="D4D4D4" w:sz="4" w:space="0"/>
            </w:tcBorders>
            <w:shd w:val="clear" w:color="auto" w:fill="FFFFFF"/>
            <w:noWrap/>
            <w:vAlign w:val="center"/>
          </w:tcPr>
          <w:p w14:paraId="440100C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464.03</w:t>
            </w:r>
          </w:p>
        </w:tc>
        <w:tc>
          <w:tcPr>
            <w:tcW w:w="339" w:type="pct"/>
            <w:tcBorders>
              <w:top w:val="nil"/>
              <w:left w:val="nil"/>
              <w:bottom w:val="single" w:color="D4D4D4" w:sz="4" w:space="0"/>
              <w:right w:val="single" w:color="D4D4D4" w:sz="4" w:space="0"/>
            </w:tcBorders>
            <w:shd w:val="clear" w:color="auto" w:fill="FFFFFF"/>
            <w:noWrap/>
            <w:vAlign w:val="center"/>
          </w:tcPr>
          <w:p w14:paraId="4B42C74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289.07</w:t>
            </w:r>
          </w:p>
        </w:tc>
        <w:tc>
          <w:tcPr>
            <w:tcW w:w="339" w:type="pct"/>
            <w:tcBorders>
              <w:top w:val="nil"/>
              <w:left w:val="nil"/>
              <w:bottom w:val="single" w:color="D4D4D4" w:sz="4" w:space="0"/>
              <w:right w:val="single" w:color="D4D4D4" w:sz="4" w:space="0"/>
            </w:tcBorders>
            <w:shd w:val="clear" w:color="auto" w:fill="FFFFFF"/>
            <w:noWrap/>
            <w:vAlign w:val="center"/>
          </w:tcPr>
          <w:p w14:paraId="5CBEA3F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3B49882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40" w:type="pct"/>
            <w:tcBorders>
              <w:top w:val="nil"/>
              <w:left w:val="nil"/>
              <w:bottom w:val="single" w:color="D4D4D4" w:sz="4" w:space="0"/>
              <w:right w:val="single" w:color="D4D4D4" w:sz="4" w:space="0"/>
            </w:tcBorders>
            <w:shd w:val="clear" w:color="auto" w:fill="FFFFFF"/>
            <w:noWrap/>
            <w:vAlign w:val="center"/>
          </w:tcPr>
          <w:p w14:paraId="7CFD063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174.96</w:t>
            </w:r>
          </w:p>
        </w:tc>
        <w:tc>
          <w:tcPr>
            <w:tcW w:w="339" w:type="pct"/>
            <w:tcBorders>
              <w:top w:val="nil"/>
              <w:left w:val="nil"/>
              <w:bottom w:val="single" w:color="D4D4D4" w:sz="4" w:space="0"/>
              <w:right w:val="single" w:color="D4D4D4" w:sz="4" w:space="0"/>
            </w:tcBorders>
            <w:shd w:val="clear" w:color="auto" w:fill="FFFFFF"/>
            <w:noWrap/>
            <w:vAlign w:val="center"/>
          </w:tcPr>
          <w:p w14:paraId="59D629A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151.47</w:t>
            </w:r>
          </w:p>
        </w:tc>
        <w:tc>
          <w:tcPr>
            <w:tcW w:w="339" w:type="pct"/>
            <w:tcBorders>
              <w:top w:val="nil"/>
              <w:left w:val="nil"/>
              <w:bottom w:val="single" w:color="D4D4D4" w:sz="4" w:space="0"/>
              <w:right w:val="single" w:color="D4D4D4" w:sz="4" w:space="0"/>
            </w:tcBorders>
            <w:shd w:val="clear" w:color="auto" w:fill="FFFFFF"/>
            <w:noWrap/>
            <w:vAlign w:val="center"/>
          </w:tcPr>
          <w:p w14:paraId="40BD7FD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2742C5B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151.47</w:t>
            </w:r>
          </w:p>
        </w:tc>
        <w:tc>
          <w:tcPr>
            <w:tcW w:w="339" w:type="pct"/>
            <w:tcBorders>
              <w:top w:val="nil"/>
              <w:left w:val="nil"/>
              <w:bottom w:val="single" w:color="D4D4D4" w:sz="4" w:space="0"/>
              <w:right w:val="single" w:color="D4D4D4" w:sz="4" w:space="0"/>
            </w:tcBorders>
            <w:shd w:val="clear" w:color="auto" w:fill="FFFFFF"/>
            <w:noWrap/>
            <w:vAlign w:val="center"/>
          </w:tcPr>
          <w:p w14:paraId="4422339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312.57</w:t>
            </w:r>
          </w:p>
        </w:tc>
        <w:tc>
          <w:tcPr>
            <w:tcW w:w="339" w:type="pct"/>
            <w:tcBorders>
              <w:top w:val="nil"/>
              <w:left w:val="nil"/>
              <w:bottom w:val="single" w:color="D4D4D4" w:sz="4" w:space="0"/>
              <w:right w:val="single" w:color="D4D4D4" w:sz="4" w:space="0"/>
            </w:tcBorders>
            <w:shd w:val="clear" w:color="auto" w:fill="FFFFFF"/>
            <w:noWrap/>
            <w:vAlign w:val="center"/>
          </w:tcPr>
          <w:p w14:paraId="22E2513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40C2CDC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40" w:type="pct"/>
            <w:tcBorders>
              <w:top w:val="nil"/>
              <w:left w:val="nil"/>
              <w:bottom w:val="single" w:color="D4D4D4" w:sz="4" w:space="0"/>
              <w:right w:val="single" w:color="D4D4D4" w:sz="4" w:space="0"/>
            </w:tcBorders>
            <w:shd w:val="clear" w:color="auto" w:fill="FFFFFF"/>
            <w:noWrap/>
            <w:vAlign w:val="center"/>
          </w:tcPr>
          <w:p w14:paraId="24C8BC1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1CE18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tcBorders>
              <w:top w:val="nil"/>
              <w:left w:val="nil"/>
              <w:bottom w:val="single" w:color="D4D4D4" w:sz="4" w:space="0"/>
              <w:right w:val="single" w:color="D4D4D4" w:sz="4" w:space="0"/>
            </w:tcBorders>
            <w:shd w:val="clear" w:color="auto" w:fill="FFFFFF"/>
            <w:noWrap/>
            <w:vAlign w:val="center"/>
          </w:tcPr>
          <w:p w14:paraId="7DD4368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第三方满意度</w:t>
            </w:r>
          </w:p>
        </w:tc>
        <w:tc>
          <w:tcPr>
            <w:tcW w:w="539" w:type="pct"/>
            <w:tcBorders>
              <w:top w:val="nil"/>
              <w:left w:val="nil"/>
              <w:bottom w:val="single" w:color="D4D4D4" w:sz="4" w:space="0"/>
              <w:right w:val="single" w:color="D4D4D4" w:sz="4" w:space="0"/>
            </w:tcBorders>
            <w:shd w:val="clear" w:color="auto" w:fill="FFFFFF"/>
            <w:noWrap/>
            <w:vAlign w:val="center"/>
          </w:tcPr>
          <w:p w14:paraId="4980DA4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37.44</w:t>
            </w:r>
          </w:p>
        </w:tc>
        <w:tc>
          <w:tcPr>
            <w:tcW w:w="339" w:type="pct"/>
            <w:tcBorders>
              <w:top w:val="nil"/>
              <w:left w:val="nil"/>
              <w:bottom w:val="single" w:color="D4D4D4" w:sz="4" w:space="0"/>
              <w:right w:val="single" w:color="D4D4D4" w:sz="4" w:space="0"/>
            </w:tcBorders>
            <w:shd w:val="clear" w:color="auto" w:fill="FFFFFF"/>
            <w:noWrap/>
            <w:vAlign w:val="center"/>
          </w:tcPr>
          <w:p w14:paraId="79C63EC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5082BE2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3B2E2B6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37.44</w:t>
            </w:r>
          </w:p>
        </w:tc>
        <w:tc>
          <w:tcPr>
            <w:tcW w:w="340" w:type="pct"/>
            <w:tcBorders>
              <w:top w:val="nil"/>
              <w:left w:val="nil"/>
              <w:bottom w:val="single" w:color="D4D4D4" w:sz="4" w:space="0"/>
              <w:right w:val="single" w:color="D4D4D4" w:sz="4" w:space="0"/>
            </w:tcBorders>
            <w:shd w:val="clear" w:color="auto" w:fill="FFFFFF"/>
            <w:noWrap/>
            <w:vAlign w:val="center"/>
          </w:tcPr>
          <w:p w14:paraId="65DB2F0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7C8FA80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37.44</w:t>
            </w:r>
          </w:p>
        </w:tc>
        <w:tc>
          <w:tcPr>
            <w:tcW w:w="339" w:type="pct"/>
            <w:tcBorders>
              <w:top w:val="nil"/>
              <w:left w:val="nil"/>
              <w:bottom w:val="single" w:color="D4D4D4" w:sz="4" w:space="0"/>
              <w:right w:val="single" w:color="D4D4D4" w:sz="4" w:space="0"/>
            </w:tcBorders>
            <w:shd w:val="clear" w:color="auto" w:fill="FFFFFF"/>
            <w:noWrap/>
            <w:vAlign w:val="center"/>
          </w:tcPr>
          <w:p w14:paraId="01A01DF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37.44</w:t>
            </w:r>
          </w:p>
        </w:tc>
        <w:tc>
          <w:tcPr>
            <w:tcW w:w="339" w:type="pct"/>
            <w:tcBorders>
              <w:top w:val="nil"/>
              <w:left w:val="nil"/>
              <w:bottom w:val="single" w:color="D4D4D4" w:sz="4" w:space="0"/>
              <w:right w:val="single" w:color="D4D4D4" w:sz="4" w:space="0"/>
            </w:tcBorders>
            <w:shd w:val="clear" w:color="auto" w:fill="FFFFFF"/>
            <w:noWrap/>
            <w:vAlign w:val="center"/>
          </w:tcPr>
          <w:p w14:paraId="14FB30C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02AACBC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768E592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001DA73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40" w:type="pct"/>
            <w:tcBorders>
              <w:top w:val="nil"/>
              <w:left w:val="nil"/>
              <w:bottom w:val="single" w:color="D4D4D4" w:sz="4" w:space="0"/>
              <w:right w:val="single" w:color="D4D4D4" w:sz="4" w:space="0"/>
            </w:tcBorders>
            <w:shd w:val="clear" w:color="auto" w:fill="FFFFFF"/>
            <w:noWrap/>
            <w:vAlign w:val="center"/>
          </w:tcPr>
          <w:p w14:paraId="16EEF17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7995A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tcBorders>
              <w:top w:val="nil"/>
              <w:left w:val="nil"/>
              <w:bottom w:val="single" w:color="D4D4D4" w:sz="4" w:space="0"/>
              <w:right w:val="single" w:color="D4D4D4" w:sz="4" w:space="0"/>
            </w:tcBorders>
            <w:shd w:val="clear" w:color="auto" w:fill="FFFFFF"/>
            <w:noWrap/>
            <w:vAlign w:val="center"/>
          </w:tcPr>
          <w:p w14:paraId="33FDB49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第三方审计专项</w:t>
            </w:r>
          </w:p>
        </w:tc>
        <w:tc>
          <w:tcPr>
            <w:tcW w:w="539" w:type="pct"/>
            <w:tcBorders>
              <w:top w:val="nil"/>
              <w:left w:val="nil"/>
              <w:bottom w:val="single" w:color="D4D4D4" w:sz="4" w:space="0"/>
              <w:right w:val="single" w:color="D4D4D4" w:sz="4" w:space="0"/>
            </w:tcBorders>
            <w:shd w:val="clear" w:color="auto" w:fill="FFFFFF"/>
            <w:noWrap/>
            <w:vAlign w:val="center"/>
          </w:tcPr>
          <w:p w14:paraId="104B7D8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65.73</w:t>
            </w:r>
          </w:p>
        </w:tc>
        <w:tc>
          <w:tcPr>
            <w:tcW w:w="339" w:type="pct"/>
            <w:tcBorders>
              <w:top w:val="nil"/>
              <w:left w:val="nil"/>
              <w:bottom w:val="single" w:color="D4D4D4" w:sz="4" w:space="0"/>
              <w:right w:val="single" w:color="D4D4D4" w:sz="4" w:space="0"/>
            </w:tcBorders>
            <w:shd w:val="clear" w:color="auto" w:fill="FFFFFF"/>
            <w:noWrap/>
            <w:vAlign w:val="center"/>
          </w:tcPr>
          <w:p w14:paraId="409C3F0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0F711FD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0B7C522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65.73</w:t>
            </w:r>
          </w:p>
        </w:tc>
        <w:tc>
          <w:tcPr>
            <w:tcW w:w="340" w:type="pct"/>
            <w:tcBorders>
              <w:top w:val="nil"/>
              <w:left w:val="nil"/>
              <w:bottom w:val="single" w:color="D4D4D4" w:sz="4" w:space="0"/>
              <w:right w:val="single" w:color="D4D4D4" w:sz="4" w:space="0"/>
            </w:tcBorders>
            <w:shd w:val="clear" w:color="auto" w:fill="FFFFFF"/>
            <w:noWrap/>
            <w:vAlign w:val="center"/>
          </w:tcPr>
          <w:p w14:paraId="791EE6A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6343D99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65.73</w:t>
            </w:r>
          </w:p>
        </w:tc>
        <w:tc>
          <w:tcPr>
            <w:tcW w:w="339" w:type="pct"/>
            <w:tcBorders>
              <w:top w:val="nil"/>
              <w:left w:val="nil"/>
              <w:bottom w:val="single" w:color="D4D4D4" w:sz="4" w:space="0"/>
              <w:right w:val="single" w:color="D4D4D4" w:sz="4" w:space="0"/>
            </w:tcBorders>
            <w:shd w:val="clear" w:color="auto" w:fill="FFFFFF"/>
            <w:noWrap/>
            <w:vAlign w:val="center"/>
          </w:tcPr>
          <w:p w14:paraId="763E50B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65.73</w:t>
            </w:r>
          </w:p>
        </w:tc>
        <w:tc>
          <w:tcPr>
            <w:tcW w:w="339" w:type="pct"/>
            <w:tcBorders>
              <w:top w:val="nil"/>
              <w:left w:val="nil"/>
              <w:bottom w:val="single" w:color="D4D4D4" w:sz="4" w:space="0"/>
              <w:right w:val="single" w:color="D4D4D4" w:sz="4" w:space="0"/>
            </w:tcBorders>
            <w:shd w:val="clear" w:color="auto" w:fill="FFFFFF"/>
            <w:noWrap/>
            <w:vAlign w:val="center"/>
          </w:tcPr>
          <w:p w14:paraId="33A77E9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411DBB2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18A6E38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0864A24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40" w:type="pct"/>
            <w:tcBorders>
              <w:top w:val="nil"/>
              <w:left w:val="nil"/>
              <w:bottom w:val="single" w:color="D4D4D4" w:sz="4" w:space="0"/>
              <w:right w:val="single" w:color="D4D4D4" w:sz="4" w:space="0"/>
            </w:tcBorders>
            <w:shd w:val="clear" w:color="auto" w:fill="FFFFFF"/>
            <w:noWrap/>
            <w:vAlign w:val="center"/>
          </w:tcPr>
          <w:p w14:paraId="76AE5C3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205D9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tcBorders>
              <w:top w:val="nil"/>
              <w:left w:val="nil"/>
              <w:bottom w:val="single" w:color="D4D4D4" w:sz="4" w:space="0"/>
              <w:right w:val="single" w:color="D4D4D4" w:sz="4" w:space="0"/>
            </w:tcBorders>
            <w:shd w:val="clear" w:color="auto" w:fill="FFFFFF"/>
            <w:noWrap/>
            <w:vAlign w:val="center"/>
          </w:tcPr>
          <w:p w14:paraId="15832A7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干部保健专项</w:t>
            </w:r>
          </w:p>
        </w:tc>
        <w:tc>
          <w:tcPr>
            <w:tcW w:w="539" w:type="pct"/>
            <w:tcBorders>
              <w:top w:val="nil"/>
              <w:left w:val="nil"/>
              <w:bottom w:val="single" w:color="D4D4D4" w:sz="4" w:space="0"/>
              <w:right w:val="single" w:color="D4D4D4" w:sz="4" w:space="0"/>
            </w:tcBorders>
            <w:shd w:val="clear" w:color="auto" w:fill="FFFFFF"/>
            <w:noWrap/>
            <w:vAlign w:val="center"/>
          </w:tcPr>
          <w:p w14:paraId="604C0F8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40.00</w:t>
            </w:r>
          </w:p>
        </w:tc>
        <w:tc>
          <w:tcPr>
            <w:tcW w:w="339" w:type="pct"/>
            <w:tcBorders>
              <w:top w:val="nil"/>
              <w:left w:val="nil"/>
              <w:bottom w:val="single" w:color="D4D4D4" w:sz="4" w:space="0"/>
              <w:right w:val="single" w:color="D4D4D4" w:sz="4" w:space="0"/>
            </w:tcBorders>
            <w:shd w:val="clear" w:color="auto" w:fill="FFFFFF"/>
            <w:noWrap/>
            <w:vAlign w:val="center"/>
          </w:tcPr>
          <w:p w14:paraId="214719B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480FC17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73032C1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40.00</w:t>
            </w:r>
          </w:p>
        </w:tc>
        <w:tc>
          <w:tcPr>
            <w:tcW w:w="340" w:type="pct"/>
            <w:tcBorders>
              <w:top w:val="nil"/>
              <w:left w:val="nil"/>
              <w:bottom w:val="single" w:color="D4D4D4" w:sz="4" w:space="0"/>
              <w:right w:val="single" w:color="D4D4D4" w:sz="4" w:space="0"/>
            </w:tcBorders>
            <w:shd w:val="clear" w:color="auto" w:fill="FFFFFF"/>
            <w:noWrap/>
            <w:vAlign w:val="center"/>
          </w:tcPr>
          <w:p w14:paraId="1404290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1322EAF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40.00</w:t>
            </w:r>
          </w:p>
        </w:tc>
        <w:tc>
          <w:tcPr>
            <w:tcW w:w="339" w:type="pct"/>
            <w:tcBorders>
              <w:top w:val="nil"/>
              <w:left w:val="nil"/>
              <w:bottom w:val="single" w:color="D4D4D4" w:sz="4" w:space="0"/>
              <w:right w:val="single" w:color="D4D4D4" w:sz="4" w:space="0"/>
            </w:tcBorders>
            <w:shd w:val="clear" w:color="auto" w:fill="FFFFFF"/>
            <w:noWrap/>
            <w:vAlign w:val="center"/>
          </w:tcPr>
          <w:p w14:paraId="61EFB4F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40.00</w:t>
            </w:r>
          </w:p>
        </w:tc>
        <w:tc>
          <w:tcPr>
            <w:tcW w:w="339" w:type="pct"/>
            <w:tcBorders>
              <w:top w:val="nil"/>
              <w:left w:val="nil"/>
              <w:bottom w:val="single" w:color="D4D4D4" w:sz="4" w:space="0"/>
              <w:right w:val="single" w:color="D4D4D4" w:sz="4" w:space="0"/>
            </w:tcBorders>
            <w:shd w:val="clear" w:color="auto" w:fill="FFFFFF"/>
            <w:noWrap/>
            <w:vAlign w:val="center"/>
          </w:tcPr>
          <w:p w14:paraId="4A5EEBD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19C81E9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01C638F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2A7C646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40" w:type="pct"/>
            <w:tcBorders>
              <w:top w:val="nil"/>
              <w:left w:val="nil"/>
              <w:bottom w:val="single" w:color="D4D4D4" w:sz="4" w:space="0"/>
              <w:right w:val="single" w:color="D4D4D4" w:sz="4" w:space="0"/>
            </w:tcBorders>
            <w:shd w:val="clear" w:color="auto" w:fill="FFFFFF"/>
            <w:noWrap/>
            <w:vAlign w:val="center"/>
          </w:tcPr>
          <w:p w14:paraId="0F957FD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071B9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tcBorders>
              <w:top w:val="nil"/>
              <w:left w:val="nil"/>
              <w:bottom w:val="single" w:color="D4D4D4" w:sz="4" w:space="0"/>
              <w:right w:val="single" w:color="D4D4D4" w:sz="4" w:space="0"/>
            </w:tcBorders>
            <w:shd w:val="clear" w:color="auto" w:fill="FFFFFF"/>
            <w:noWrap/>
            <w:vAlign w:val="center"/>
          </w:tcPr>
          <w:p w14:paraId="57E3233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个税返还</w:t>
            </w:r>
          </w:p>
        </w:tc>
        <w:tc>
          <w:tcPr>
            <w:tcW w:w="539" w:type="pct"/>
            <w:tcBorders>
              <w:top w:val="nil"/>
              <w:left w:val="nil"/>
              <w:bottom w:val="single" w:color="D4D4D4" w:sz="4" w:space="0"/>
              <w:right w:val="single" w:color="D4D4D4" w:sz="4" w:space="0"/>
            </w:tcBorders>
            <w:shd w:val="clear" w:color="auto" w:fill="FFFFFF"/>
            <w:noWrap/>
            <w:vAlign w:val="center"/>
          </w:tcPr>
          <w:p w14:paraId="7CDA83A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5.94</w:t>
            </w:r>
          </w:p>
        </w:tc>
        <w:tc>
          <w:tcPr>
            <w:tcW w:w="339" w:type="pct"/>
            <w:tcBorders>
              <w:top w:val="nil"/>
              <w:left w:val="nil"/>
              <w:bottom w:val="single" w:color="D4D4D4" w:sz="4" w:space="0"/>
              <w:right w:val="single" w:color="D4D4D4" w:sz="4" w:space="0"/>
            </w:tcBorders>
            <w:shd w:val="clear" w:color="auto" w:fill="FFFFFF"/>
            <w:noWrap/>
            <w:vAlign w:val="center"/>
          </w:tcPr>
          <w:p w14:paraId="271C011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032ACD0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3853F99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40" w:type="pct"/>
            <w:tcBorders>
              <w:top w:val="nil"/>
              <w:left w:val="nil"/>
              <w:bottom w:val="single" w:color="D4D4D4" w:sz="4" w:space="0"/>
              <w:right w:val="single" w:color="D4D4D4" w:sz="4" w:space="0"/>
            </w:tcBorders>
            <w:shd w:val="clear" w:color="auto" w:fill="FFFFFF"/>
            <w:noWrap/>
            <w:vAlign w:val="center"/>
          </w:tcPr>
          <w:p w14:paraId="08239B8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5.94</w:t>
            </w:r>
          </w:p>
        </w:tc>
        <w:tc>
          <w:tcPr>
            <w:tcW w:w="339" w:type="pct"/>
            <w:tcBorders>
              <w:top w:val="nil"/>
              <w:left w:val="nil"/>
              <w:bottom w:val="single" w:color="D4D4D4" w:sz="4" w:space="0"/>
              <w:right w:val="single" w:color="D4D4D4" w:sz="4" w:space="0"/>
            </w:tcBorders>
            <w:shd w:val="clear" w:color="auto" w:fill="FFFFFF"/>
            <w:noWrap/>
            <w:vAlign w:val="center"/>
          </w:tcPr>
          <w:p w14:paraId="79221E3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2.51</w:t>
            </w:r>
          </w:p>
        </w:tc>
        <w:tc>
          <w:tcPr>
            <w:tcW w:w="339" w:type="pct"/>
            <w:tcBorders>
              <w:top w:val="nil"/>
              <w:left w:val="nil"/>
              <w:bottom w:val="single" w:color="D4D4D4" w:sz="4" w:space="0"/>
              <w:right w:val="single" w:color="D4D4D4" w:sz="4" w:space="0"/>
            </w:tcBorders>
            <w:shd w:val="clear" w:color="auto" w:fill="FFFFFF"/>
            <w:noWrap/>
            <w:vAlign w:val="center"/>
          </w:tcPr>
          <w:p w14:paraId="26FE37D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42ED49A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2.51</w:t>
            </w:r>
          </w:p>
        </w:tc>
        <w:tc>
          <w:tcPr>
            <w:tcW w:w="339" w:type="pct"/>
            <w:tcBorders>
              <w:top w:val="nil"/>
              <w:left w:val="nil"/>
              <w:bottom w:val="single" w:color="D4D4D4" w:sz="4" w:space="0"/>
              <w:right w:val="single" w:color="D4D4D4" w:sz="4" w:space="0"/>
            </w:tcBorders>
            <w:shd w:val="clear" w:color="auto" w:fill="FFFFFF"/>
            <w:noWrap/>
            <w:vAlign w:val="center"/>
          </w:tcPr>
          <w:p w14:paraId="5B3FDF3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3.43</w:t>
            </w:r>
          </w:p>
        </w:tc>
        <w:tc>
          <w:tcPr>
            <w:tcW w:w="339" w:type="pct"/>
            <w:tcBorders>
              <w:top w:val="nil"/>
              <w:left w:val="nil"/>
              <w:bottom w:val="single" w:color="D4D4D4" w:sz="4" w:space="0"/>
              <w:right w:val="single" w:color="D4D4D4" w:sz="4" w:space="0"/>
            </w:tcBorders>
            <w:shd w:val="clear" w:color="auto" w:fill="FFFFFF"/>
            <w:noWrap/>
            <w:vAlign w:val="center"/>
          </w:tcPr>
          <w:p w14:paraId="2D41CDB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5059A70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40" w:type="pct"/>
            <w:tcBorders>
              <w:top w:val="nil"/>
              <w:left w:val="nil"/>
              <w:bottom w:val="single" w:color="D4D4D4" w:sz="4" w:space="0"/>
              <w:right w:val="single" w:color="D4D4D4" w:sz="4" w:space="0"/>
            </w:tcBorders>
            <w:shd w:val="clear" w:color="auto" w:fill="FFFFFF"/>
            <w:noWrap/>
            <w:vAlign w:val="center"/>
          </w:tcPr>
          <w:p w14:paraId="0D752C0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51B5F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tcBorders>
              <w:top w:val="nil"/>
              <w:left w:val="nil"/>
              <w:bottom w:val="single" w:color="D4D4D4" w:sz="4" w:space="0"/>
              <w:right w:val="single" w:color="D4D4D4" w:sz="4" w:space="0"/>
            </w:tcBorders>
            <w:shd w:val="clear" w:color="auto" w:fill="FFFFFF"/>
            <w:noWrap/>
            <w:vAlign w:val="center"/>
          </w:tcPr>
          <w:p w14:paraId="61684DA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行政审批专项</w:t>
            </w:r>
          </w:p>
        </w:tc>
        <w:tc>
          <w:tcPr>
            <w:tcW w:w="539" w:type="pct"/>
            <w:tcBorders>
              <w:top w:val="nil"/>
              <w:left w:val="nil"/>
              <w:bottom w:val="single" w:color="D4D4D4" w:sz="4" w:space="0"/>
              <w:right w:val="single" w:color="D4D4D4" w:sz="4" w:space="0"/>
            </w:tcBorders>
            <w:shd w:val="clear" w:color="auto" w:fill="FFFFFF"/>
            <w:noWrap/>
            <w:vAlign w:val="center"/>
          </w:tcPr>
          <w:p w14:paraId="16DBC62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68.07</w:t>
            </w:r>
          </w:p>
        </w:tc>
        <w:tc>
          <w:tcPr>
            <w:tcW w:w="339" w:type="pct"/>
            <w:tcBorders>
              <w:top w:val="nil"/>
              <w:left w:val="nil"/>
              <w:bottom w:val="single" w:color="D4D4D4" w:sz="4" w:space="0"/>
              <w:right w:val="single" w:color="D4D4D4" w:sz="4" w:space="0"/>
            </w:tcBorders>
            <w:shd w:val="clear" w:color="auto" w:fill="FFFFFF"/>
            <w:noWrap/>
            <w:vAlign w:val="center"/>
          </w:tcPr>
          <w:p w14:paraId="24E5317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683A730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5E45D9E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68.07</w:t>
            </w:r>
          </w:p>
        </w:tc>
        <w:tc>
          <w:tcPr>
            <w:tcW w:w="340" w:type="pct"/>
            <w:tcBorders>
              <w:top w:val="nil"/>
              <w:left w:val="nil"/>
              <w:bottom w:val="single" w:color="D4D4D4" w:sz="4" w:space="0"/>
              <w:right w:val="single" w:color="D4D4D4" w:sz="4" w:space="0"/>
            </w:tcBorders>
            <w:shd w:val="clear" w:color="auto" w:fill="FFFFFF"/>
            <w:noWrap/>
            <w:vAlign w:val="center"/>
          </w:tcPr>
          <w:p w14:paraId="20CBBF7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6C92BCD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68.07</w:t>
            </w:r>
          </w:p>
        </w:tc>
        <w:tc>
          <w:tcPr>
            <w:tcW w:w="339" w:type="pct"/>
            <w:tcBorders>
              <w:top w:val="nil"/>
              <w:left w:val="nil"/>
              <w:bottom w:val="single" w:color="D4D4D4" w:sz="4" w:space="0"/>
              <w:right w:val="single" w:color="D4D4D4" w:sz="4" w:space="0"/>
            </w:tcBorders>
            <w:shd w:val="clear" w:color="auto" w:fill="FFFFFF"/>
            <w:noWrap/>
            <w:vAlign w:val="center"/>
          </w:tcPr>
          <w:p w14:paraId="560E485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68.07</w:t>
            </w:r>
          </w:p>
        </w:tc>
        <w:tc>
          <w:tcPr>
            <w:tcW w:w="339" w:type="pct"/>
            <w:tcBorders>
              <w:top w:val="nil"/>
              <w:left w:val="nil"/>
              <w:bottom w:val="single" w:color="D4D4D4" w:sz="4" w:space="0"/>
              <w:right w:val="single" w:color="D4D4D4" w:sz="4" w:space="0"/>
            </w:tcBorders>
            <w:shd w:val="clear" w:color="auto" w:fill="FFFFFF"/>
            <w:noWrap/>
            <w:vAlign w:val="center"/>
          </w:tcPr>
          <w:p w14:paraId="2941D37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7DE9244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48DCE1B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1EAE30B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40" w:type="pct"/>
            <w:tcBorders>
              <w:top w:val="nil"/>
              <w:left w:val="nil"/>
              <w:bottom w:val="single" w:color="D4D4D4" w:sz="4" w:space="0"/>
              <w:right w:val="single" w:color="D4D4D4" w:sz="4" w:space="0"/>
            </w:tcBorders>
            <w:shd w:val="clear" w:color="auto" w:fill="FFFFFF"/>
            <w:noWrap/>
            <w:vAlign w:val="center"/>
          </w:tcPr>
          <w:p w14:paraId="0728057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53231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tcBorders>
              <w:top w:val="nil"/>
              <w:left w:val="nil"/>
              <w:bottom w:val="single" w:color="D4D4D4" w:sz="4" w:space="0"/>
              <w:right w:val="single" w:color="D4D4D4" w:sz="4" w:space="0"/>
            </w:tcBorders>
            <w:shd w:val="clear" w:color="auto" w:fill="FFFFFF"/>
            <w:noWrap/>
            <w:vAlign w:val="center"/>
          </w:tcPr>
          <w:p w14:paraId="16A8F59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计划生育奖励补助</w:t>
            </w:r>
          </w:p>
        </w:tc>
        <w:tc>
          <w:tcPr>
            <w:tcW w:w="539" w:type="pct"/>
            <w:tcBorders>
              <w:top w:val="nil"/>
              <w:left w:val="nil"/>
              <w:bottom w:val="single" w:color="D4D4D4" w:sz="4" w:space="0"/>
              <w:right w:val="single" w:color="D4D4D4" w:sz="4" w:space="0"/>
            </w:tcBorders>
            <w:shd w:val="clear" w:color="auto" w:fill="FFFFFF"/>
            <w:noWrap/>
            <w:vAlign w:val="center"/>
          </w:tcPr>
          <w:p w14:paraId="0C62517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5,417.52</w:t>
            </w:r>
          </w:p>
        </w:tc>
        <w:tc>
          <w:tcPr>
            <w:tcW w:w="339" w:type="pct"/>
            <w:tcBorders>
              <w:top w:val="nil"/>
              <w:left w:val="nil"/>
              <w:bottom w:val="single" w:color="D4D4D4" w:sz="4" w:space="0"/>
              <w:right w:val="single" w:color="D4D4D4" w:sz="4" w:space="0"/>
            </w:tcBorders>
            <w:shd w:val="clear" w:color="auto" w:fill="FFFFFF"/>
            <w:noWrap/>
            <w:vAlign w:val="center"/>
          </w:tcPr>
          <w:p w14:paraId="1731D92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5,417.52</w:t>
            </w:r>
          </w:p>
        </w:tc>
        <w:tc>
          <w:tcPr>
            <w:tcW w:w="339" w:type="pct"/>
            <w:tcBorders>
              <w:top w:val="nil"/>
              <w:left w:val="nil"/>
              <w:bottom w:val="single" w:color="D4D4D4" w:sz="4" w:space="0"/>
              <w:right w:val="single" w:color="D4D4D4" w:sz="4" w:space="0"/>
            </w:tcBorders>
            <w:shd w:val="clear" w:color="auto" w:fill="FFFFFF"/>
            <w:noWrap/>
            <w:vAlign w:val="center"/>
          </w:tcPr>
          <w:p w14:paraId="22BAF12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5,417.52</w:t>
            </w:r>
          </w:p>
        </w:tc>
        <w:tc>
          <w:tcPr>
            <w:tcW w:w="339" w:type="pct"/>
            <w:tcBorders>
              <w:top w:val="nil"/>
              <w:left w:val="nil"/>
              <w:bottom w:val="single" w:color="D4D4D4" w:sz="4" w:space="0"/>
              <w:right w:val="single" w:color="D4D4D4" w:sz="4" w:space="0"/>
            </w:tcBorders>
            <w:shd w:val="clear" w:color="auto" w:fill="FFFFFF"/>
            <w:noWrap/>
            <w:vAlign w:val="center"/>
          </w:tcPr>
          <w:p w14:paraId="489C281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40" w:type="pct"/>
            <w:tcBorders>
              <w:top w:val="nil"/>
              <w:left w:val="nil"/>
              <w:bottom w:val="single" w:color="D4D4D4" w:sz="4" w:space="0"/>
              <w:right w:val="single" w:color="D4D4D4" w:sz="4" w:space="0"/>
            </w:tcBorders>
            <w:shd w:val="clear" w:color="auto" w:fill="FFFFFF"/>
            <w:noWrap/>
            <w:vAlign w:val="center"/>
          </w:tcPr>
          <w:p w14:paraId="4B64430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0C5B026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09E2378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4E493F8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4DC0C22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5,417.52</w:t>
            </w:r>
          </w:p>
        </w:tc>
        <w:tc>
          <w:tcPr>
            <w:tcW w:w="339" w:type="pct"/>
            <w:tcBorders>
              <w:top w:val="nil"/>
              <w:left w:val="nil"/>
              <w:bottom w:val="single" w:color="D4D4D4" w:sz="4" w:space="0"/>
              <w:right w:val="single" w:color="D4D4D4" w:sz="4" w:space="0"/>
            </w:tcBorders>
            <w:shd w:val="clear" w:color="auto" w:fill="FFFFFF"/>
            <w:noWrap/>
            <w:vAlign w:val="center"/>
          </w:tcPr>
          <w:p w14:paraId="2578459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5,417.52</w:t>
            </w:r>
          </w:p>
        </w:tc>
        <w:tc>
          <w:tcPr>
            <w:tcW w:w="339" w:type="pct"/>
            <w:tcBorders>
              <w:top w:val="nil"/>
              <w:left w:val="nil"/>
              <w:bottom w:val="single" w:color="D4D4D4" w:sz="4" w:space="0"/>
              <w:right w:val="single" w:color="D4D4D4" w:sz="4" w:space="0"/>
            </w:tcBorders>
            <w:shd w:val="clear" w:color="auto" w:fill="FFFFFF"/>
            <w:noWrap/>
            <w:vAlign w:val="center"/>
          </w:tcPr>
          <w:p w14:paraId="18EE0C3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5,417.52</w:t>
            </w:r>
          </w:p>
        </w:tc>
        <w:tc>
          <w:tcPr>
            <w:tcW w:w="340" w:type="pct"/>
            <w:tcBorders>
              <w:top w:val="nil"/>
              <w:left w:val="nil"/>
              <w:bottom w:val="single" w:color="D4D4D4" w:sz="4" w:space="0"/>
              <w:right w:val="single" w:color="D4D4D4" w:sz="4" w:space="0"/>
            </w:tcBorders>
            <w:shd w:val="clear" w:color="auto" w:fill="FFFFFF"/>
            <w:noWrap/>
            <w:vAlign w:val="center"/>
          </w:tcPr>
          <w:p w14:paraId="7F2D3C3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74B63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tcBorders>
              <w:top w:val="nil"/>
              <w:left w:val="nil"/>
              <w:bottom w:val="single" w:color="D4D4D4" w:sz="4" w:space="0"/>
              <w:right w:val="single" w:color="D4D4D4" w:sz="4" w:space="0"/>
            </w:tcBorders>
            <w:shd w:val="clear" w:color="auto" w:fill="FFFFFF"/>
            <w:noWrap/>
            <w:vAlign w:val="center"/>
          </w:tcPr>
          <w:p w14:paraId="5D883EA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技能大赛经费</w:t>
            </w:r>
          </w:p>
        </w:tc>
        <w:tc>
          <w:tcPr>
            <w:tcW w:w="539" w:type="pct"/>
            <w:tcBorders>
              <w:top w:val="nil"/>
              <w:left w:val="nil"/>
              <w:bottom w:val="single" w:color="D4D4D4" w:sz="4" w:space="0"/>
              <w:right w:val="single" w:color="D4D4D4" w:sz="4" w:space="0"/>
            </w:tcBorders>
            <w:shd w:val="clear" w:color="auto" w:fill="FFFFFF"/>
            <w:noWrap/>
            <w:vAlign w:val="center"/>
          </w:tcPr>
          <w:p w14:paraId="3721CCB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19.63</w:t>
            </w:r>
          </w:p>
        </w:tc>
        <w:tc>
          <w:tcPr>
            <w:tcW w:w="339" w:type="pct"/>
            <w:tcBorders>
              <w:top w:val="nil"/>
              <w:left w:val="nil"/>
              <w:bottom w:val="single" w:color="D4D4D4" w:sz="4" w:space="0"/>
              <w:right w:val="single" w:color="D4D4D4" w:sz="4" w:space="0"/>
            </w:tcBorders>
            <w:shd w:val="clear" w:color="auto" w:fill="FFFFFF"/>
            <w:noWrap/>
            <w:vAlign w:val="center"/>
          </w:tcPr>
          <w:p w14:paraId="3318FFE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9.63</w:t>
            </w:r>
          </w:p>
        </w:tc>
        <w:tc>
          <w:tcPr>
            <w:tcW w:w="339" w:type="pct"/>
            <w:tcBorders>
              <w:top w:val="nil"/>
              <w:left w:val="nil"/>
              <w:bottom w:val="single" w:color="D4D4D4" w:sz="4" w:space="0"/>
              <w:right w:val="single" w:color="D4D4D4" w:sz="4" w:space="0"/>
            </w:tcBorders>
            <w:shd w:val="clear" w:color="auto" w:fill="FFFFFF"/>
            <w:noWrap/>
            <w:vAlign w:val="center"/>
          </w:tcPr>
          <w:p w14:paraId="76866F8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07AEDB7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40" w:type="pct"/>
            <w:tcBorders>
              <w:top w:val="nil"/>
              <w:left w:val="nil"/>
              <w:bottom w:val="single" w:color="D4D4D4" w:sz="4" w:space="0"/>
              <w:right w:val="single" w:color="D4D4D4" w:sz="4" w:space="0"/>
            </w:tcBorders>
            <w:shd w:val="clear" w:color="auto" w:fill="FFFFFF"/>
            <w:noWrap/>
            <w:vAlign w:val="center"/>
          </w:tcPr>
          <w:p w14:paraId="074D091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w:t>
            </w:r>
          </w:p>
        </w:tc>
        <w:tc>
          <w:tcPr>
            <w:tcW w:w="339" w:type="pct"/>
            <w:tcBorders>
              <w:top w:val="nil"/>
              <w:left w:val="nil"/>
              <w:bottom w:val="single" w:color="D4D4D4" w:sz="4" w:space="0"/>
              <w:right w:val="single" w:color="D4D4D4" w:sz="4" w:space="0"/>
            </w:tcBorders>
            <w:shd w:val="clear" w:color="auto" w:fill="FFFFFF"/>
            <w:noWrap/>
            <w:vAlign w:val="center"/>
          </w:tcPr>
          <w:p w14:paraId="3A4D1A8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3.14</w:t>
            </w:r>
          </w:p>
        </w:tc>
        <w:tc>
          <w:tcPr>
            <w:tcW w:w="339" w:type="pct"/>
            <w:tcBorders>
              <w:top w:val="nil"/>
              <w:left w:val="nil"/>
              <w:bottom w:val="single" w:color="D4D4D4" w:sz="4" w:space="0"/>
              <w:right w:val="single" w:color="D4D4D4" w:sz="4" w:space="0"/>
            </w:tcBorders>
            <w:shd w:val="clear" w:color="auto" w:fill="FFFFFF"/>
            <w:noWrap/>
            <w:vAlign w:val="center"/>
          </w:tcPr>
          <w:p w14:paraId="50972E1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0673A2B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3.14</w:t>
            </w:r>
          </w:p>
        </w:tc>
        <w:tc>
          <w:tcPr>
            <w:tcW w:w="339" w:type="pct"/>
            <w:tcBorders>
              <w:top w:val="nil"/>
              <w:left w:val="nil"/>
              <w:bottom w:val="single" w:color="D4D4D4" w:sz="4" w:space="0"/>
              <w:right w:val="single" w:color="D4D4D4" w:sz="4" w:space="0"/>
            </w:tcBorders>
            <w:shd w:val="clear" w:color="auto" w:fill="FFFFFF"/>
            <w:noWrap/>
            <w:vAlign w:val="center"/>
          </w:tcPr>
          <w:p w14:paraId="61A33A2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16.50</w:t>
            </w:r>
          </w:p>
        </w:tc>
        <w:tc>
          <w:tcPr>
            <w:tcW w:w="339" w:type="pct"/>
            <w:tcBorders>
              <w:top w:val="nil"/>
              <w:left w:val="nil"/>
              <w:bottom w:val="single" w:color="D4D4D4" w:sz="4" w:space="0"/>
              <w:right w:val="single" w:color="D4D4D4" w:sz="4" w:space="0"/>
            </w:tcBorders>
            <w:shd w:val="clear" w:color="auto" w:fill="FFFFFF"/>
            <w:noWrap/>
            <w:vAlign w:val="center"/>
          </w:tcPr>
          <w:p w14:paraId="58EFACC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104F37A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40" w:type="pct"/>
            <w:tcBorders>
              <w:top w:val="nil"/>
              <w:left w:val="nil"/>
              <w:bottom w:val="single" w:color="D4D4D4" w:sz="4" w:space="0"/>
              <w:right w:val="single" w:color="D4D4D4" w:sz="4" w:space="0"/>
            </w:tcBorders>
            <w:shd w:val="clear" w:color="auto" w:fill="FFFFFF"/>
            <w:noWrap/>
            <w:vAlign w:val="center"/>
          </w:tcPr>
          <w:p w14:paraId="59AB97B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21367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tcBorders>
              <w:top w:val="nil"/>
              <w:left w:val="nil"/>
              <w:bottom w:val="single" w:color="D4D4D4" w:sz="4" w:space="0"/>
              <w:right w:val="single" w:color="D4D4D4" w:sz="4" w:space="0"/>
            </w:tcBorders>
            <w:shd w:val="clear" w:color="auto" w:fill="FFFFFF"/>
            <w:noWrap/>
            <w:vAlign w:val="center"/>
          </w:tcPr>
          <w:p w14:paraId="4BA655A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老龄专项</w:t>
            </w:r>
          </w:p>
        </w:tc>
        <w:tc>
          <w:tcPr>
            <w:tcW w:w="539" w:type="pct"/>
            <w:tcBorders>
              <w:top w:val="nil"/>
              <w:left w:val="nil"/>
              <w:bottom w:val="single" w:color="D4D4D4" w:sz="4" w:space="0"/>
              <w:right w:val="single" w:color="D4D4D4" w:sz="4" w:space="0"/>
            </w:tcBorders>
            <w:shd w:val="clear" w:color="auto" w:fill="FFFFFF"/>
            <w:noWrap/>
            <w:vAlign w:val="center"/>
          </w:tcPr>
          <w:p w14:paraId="51A24AF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183.40</w:t>
            </w:r>
          </w:p>
        </w:tc>
        <w:tc>
          <w:tcPr>
            <w:tcW w:w="339" w:type="pct"/>
            <w:tcBorders>
              <w:top w:val="nil"/>
              <w:left w:val="nil"/>
              <w:bottom w:val="single" w:color="D4D4D4" w:sz="4" w:space="0"/>
              <w:right w:val="single" w:color="D4D4D4" w:sz="4" w:space="0"/>
            </w:tcBorders>
            <w:shd w:val="clear" w:color="auto" w:fill="FFFFFF"/>
            <w:noWrap/>
            <w:vAlign w:val="center"/>
          </w:tcPr>
          <w:p w14:paraId="0F0460F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5403FE0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567D9B0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183.40</w:t>
            </w:r>
          </w:p>
        </w:tc>
        <w:tc>
          <w:tcPr>
            <w:tcW w:w="340" w:type="pct"/>
            <w:tcBorders>
              <w:top w:val="nil"/>
              <w:left w:val="nil"/>
              <w:bottom w:val="single" w:color="D4D4D4" w:sz="4" w:space="0"/>
              <w:right w:val="single" w:color="D4D4D4" w:sz="4" w:space="0"/>
            </w:tcBorders>
            <w:shd w:val="clear" w:color="auto" w:fill="FFFFFF"/>
            <w:noWrap/>
            <w:vAlign w:val="center"/>
          </w:tcPr>
          <w:p w14:paraId="031B8B8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21FC026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183.40</w:t>
            </w:r>
          </w:p>
        </w:tc>
        <w:tc>
          <w:tcPr>
            <w:tcW w:w="339" w:type="pct"/>
            <w:tcBorders>
              <w:top w:val="nil"/>
              <w:left w:val="nil"/>
              <w:bottom w:val="single" w:color="D4D4D4" w:sz="4" w:space="0"/>
              <w:right w:val="single" w:color="D4D4D4" w:sz="4" w:space="0"/>
            </w:tcBorders>
            <w:shd w:val="clear" w:color="auto" w:fill="FFFFFF"/>
            <w:noWrap/>
            <w:vAlign w:val="center"/>
          </w:tcPr>
          <w:p w14:paraId="1B28440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183.40</w:t>
            </w:r>
          </w:p>
        </w:tc>
        <w:tc>
          <w:tcPr>
            <w:tcW w:w="339" w:type="pct"/>
            <w:tcBorders>
              <w:top w:val="nil"/>
              <w:left w:val="nil"/>
              <w:bottom w:val="single" w:color="D4D4D4" w:sz="4" w:space="0"/>
              <w:right w:val="single" w:color="D4D4D4" w:sz="4" w:space="0"/>
            </w:tcBorders>
            <w:shd w:val="clear" w:color="auto" w:fill="FFFFFF"/>
            <w:noWrap/>
            <w:vAlign w:val="center"/>
          </w:tcPr>
          <w:p w14:paraId="56491FB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76EF78F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04D1C95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03BA4DE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40" w:type="pct"/>
            <w:tcBorders>
              <w:top w:val="nil"/>
              <w:left w:val="nil"/>
              <w:bottom w:val="single" w:color="D4D4D4" w:sz="4" w:space="0"/>
              <w:right w:val="single" w:color="D4D4D4" w:sz="4" w:space="0"/>
            </w:tcBorders>
            <w:shd w:val="clear" w:color="auto" w:fill="FFFFFF"/>
            <w:noWrap/>
            <w:vAlign w:val="center"/>
          </w:tcPr>
          <w:p w14:paraId="1DB267D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11034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tcBorders>
              <w:top w:val="nil"/>
              <w:left w:val="nil"/>
              <w:bottom w:val="single" w:color="D4D4D4" w:sz="4" w:space="0"/>
              <w:right w:val="single" w:color="D4D4D4" w:sz="4" w:space="0"/>
            </w:tcBorders>
            <w:shd w:val="clear" w:color="auto" w:fill="FFFFFF"/>
            <w:noWrap/>
            <w:vAlign w:val="center"/>
          </w:tcPr>
          <w:p w14:paraId="1A28738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人口家庭专项</w:t>
            </w:r>
          </w:p>
        </w:tc>
        <w:tc>
          <w:tcPr>
            <w:tcW w:w="539" w:type="pct"/>
            <w:tcBorders>
              <w:top w:val="nil"/>
              <w:left w:val="nil"/>
              <w:bottom w:val="single" w:color="D4D4D4" w:sz="4" w:space="0"/>
              <w:right w:val="single" w:color="D4D4D4" w:sz="4" w:space="0"/>
            </w:tcBorders>
            <w:shd w:val="clear" w:color="auto" w:fill="FFFFFF"/>
            <w:noWrap/>
            <w:vAlign w:val="center"/>
          </w:tcPr>
          <w:p w14:paraId="0D1AC88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89.00</w:t>
            </w:r>
          </w:p>
        </w:tc>
        <w:tc>
          <w:tcPr>
            <w:tcW w:w="339" w:type="pct"/>
            <w:tcBorders>
              <w:top w:val="nil"/>
              <w:left w:val="nil"/>
              <w:bottom w:val="single" w:color="D4D4D4" w:sz="4" w:space="0"/>
              <w:right w:val="single" w:color="D4D4D4" w:sz="4" w:space="0"/>
            </w:tcBorders>
            <w:shd w:val="clear" w:color="auto" w:fill="FFFFFF"/>
            <w:noWrap/>
            <w:vAlign w:val="center"/>
          </w:tcPr>
          <w:p w14:paraId="73BC0FA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41.66</w:t>
            </w:r>
          </w:p>
        </w:tc>
        <w:tc>
          <w:tcPr>
            <w:tcW w:w="339" w:type="pct"/>
            <w:tcBorders>
              <w:top w:val="nil"/>
              <w:left w:val="nil"/>
              <w:bottom w:val="single" w:color="D4D4D4" w:sz="4" w:space="0"/>
              <w:right w:val="single" w:color="D4D4D4" w:sz="4" w:space="0"/>
            </w:tcBorders>
            <w:shd w:val="clear" w:color="auto" w:fill="FFFFFF"/>
            <w:noWrap/>
            <w:vAlign w:val="center"/>
          </w:tcPr>
          <w:p w14:paraId="25E5CEF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41.66</w:t>
            </w:r>
          </w:p>
        </w:tc>
        <w:tc>
          <w:tcPr>
            <w:tcW w:w="339" w:type="pct"/>
            <w:tcBorders>
              <w:top w:val="nil"/>
              <w:left w:val="nil"/>
              <w:bottom w:val="single" w:color="D4D4D4" w:sz="4" w:space="0"/>
              <w:right w:val="single" w:color="D4D4D4" w:sz="4" w:space="0"/>
            </w:tcBorders>
            <w:shd w:val="clear" w:color="auto" w:fill="FFFFFF"/>
            <w:noWrap/>
            <w:vAlign w:val="center"/>
          </w:tcPr>
          <w:p w14:paraId="2F1B203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47.34</w:t>
            </w:r>
          </w:p>
        </w:tc>
        <w:tc>
          <w:tcPr>
            <w:tcW w:w="340" w:type="pct"/>
            <w:tcBorders>
              <w:top w:val="nil"/>
              <w:left w:val="nil"/>
              <w:bottom w:val="single" w:color="D4D4D4" w:sz="4" w:space="0"/>
              <w:right w:val="single" w:color="D4D4D4" w:sz="4" w:space="0"/>
            </w:tcBorders>
            <w:shd w:val="clear" w:color="auto" w:fill="FFFFFF"/>
            <w:noWrap/>
            <w:vAlign w:val="center"/>
          </w:tcPr>
          <w:p w14:paraId="578E465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4F3201D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47.34</w:t>
            </w:r>
          </w:p>
        </w:tc>
        <w:tc>
          <w:tcPr>
            <w:tcW w:w="339" w:type="pct"/>
            <w:tcBorders>
              <w:top w:val="nil"/>
              <w:left w:val="nil"/>
              <w:bottom w:val="single" w:color="D4D4D4" w:sz="4" w:space="0"/>
              <w:right w:val="single" w:color="D4D4D4" w:sz="4" w:space="0"/>
            </w:tcBorders>
            <w:shd w:val="clear" w:color="auto" w:fill="FFFFFF"/>
            <w:noWrap/>
            <w:vAlign w:val="center"/>
          </w:tcPr>
          <w:p w14:paraId="7B17B11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47.34</w:t>
            </w:r>
          </w:p>
        </w:tc>
        <w:tc>
          <w:tcPr>
            <w:tcW w:w="339" w:type="pct"/>
            <w:tcBorders>
              <w:top w:val="nil"/>
              <w:left w:val="nil"/>
              <w:bottom w:val="single" w:color="D4D4D4" w:sz="4" w:space="0"/>
              <w:right w:val="single" w:color="D4D4D4" w:sz="4" w:space="0"/>
            </w:tcBorders>
            <w:shd w:val="clear" w:color="auto" w:fill="FFFFFF"/>
            <w:noWrap/>
            <w:vAlign w:val="center"/>
          </w:tcPr>
          <w:p w14:paraId="13E100F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3B834D9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41.66</w:t>
            </w:r>
          </w:p>
        </w:tc>
        <w:tc>
          <w:tcPr>
            <w:tcW w:w="339" w:type="pct"/>
            <w:tcBorders>
              <w:top w:val="nil"/>
              <w:left w:val="nil"/>
              <w:bottom w:val="single" w:color="D4D4D4" w:sz="4" w:space="0"/>
              <w:right w:val="single" w:color="D4D4D4" w:sz="4" w:space="0"/>
            </w:tcBorders>
            <w:shd w:val="clear" w:color="auto" w:fill="FFFFFF"/>
            <w:noWrap/>
            <w:vAlign w:val="center"/>
          </w:tcPr>
          <w:p w14:paraId="052A9DC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41.66</w:t>
            </w:r>
          </w:p>
        </w:tc>
        <w:tc>
          <w:tcPr>
            <w:tcW w:w="339" w:type="pct"/>
            <w:tcBorders>
              <w:top w:val="nil"/>
              <w:left w:val="nil"/>
              <w:bottom w:val="single" w:color="D4D4D4" w:sz="4" w:space="0"/>
              <w:right w:val="single" w:color="D4D4D4" w:sz="4" w:space="0"/>
            </w:tcBorders>
            <w:shd w:val="clear" w:color="auto" w:fill="FFFFFF"/>
            <w:noWrap/>
            <w:vAlign w:val="center"/>
          </w:tcPr>
          <w:p w14:paraId="47B0BDA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41.66</w:t>
            </w:r>
          </w:p>
        </w:tc>
        <w:tc>
          <w:tcPr>
            <w:tcW w:w="340" w:type="pct"/>
            <w:tcBorders>
              <w:top w:val="nil"/>
              <w:left w:val="nil"/>
              <w:bottom w:val="single" w:color="D4D4D4" w:sz="4" w:space="0"/>
              <w:right w:val="single" w:color="D4D4D4" w:sz="4" w:space="0"/>
            </w:tcBorders>
            <w:shd w:val="clear" w:color="auto" w:fill="FFFFFF"/>
            <w:noWrap/>
            <w:vAlign w:val="center"/>
          </w:tcPr>
          <w:p w14:paraId="12D2D48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147DB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tcBorders>
              <w:top w:val="nil"/>
              <w:left w:val="nil"/>
              <w:bottom w:val="single" w:color="D4D4D4" w:sz="4" w:space="0"/>
              <w:right w:val="single" w:color="D4D4D4" w:sz="4" w:space="0"/>
            </w:tcBorders>
            <w:shd w:val="clear" w:color="auto" w:fill="FFFFFF"/>
            <w:noWrap/>
            <w:vAlign w:val="center"/>
          </w:tcPr>
          <w:p w14:paraId="6B333D8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上级及其他部门划拨经费</w:t>
            </w:r>
          </w:p>
        </w:tc>
        <w:tc>
          <w:tcPr>
            <w:tcW w:w="539" w:type="pct"/>
            <w:tcBorders>
              <w:top w:val="nil"/>
              <w:left w:val="nil"/>
              <w:bottom w:val="single" w:color="D4D4D4" w:sz="4" w:space="0"/>
              <w:right w:val="single" w:color="D4D4D4" w:sz="4" w:space="0"/>
            </w:tcBorders>
            <w:shd w:val="clear" w:color="auto" w:fill="FFFFFF"/>
            <w:noWrap/>
            <w:vAlign w:val="center"/>
          </w:tcPr>
          <w:p w14:paraId="7EA5113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485.30</w:t>
            </w:r>
          </w:p>
        </w:tc>
        <w:tc>
          <w:tcPr>
            <w:tcW w:w="339" w:type="pct"/>
            <w:tcBorders>
              <w:top w:val="nil"/>
              <w:left w:val="nil"/>
              <w:bottom w:val="single" w:color="D4D4D4" w:sz="4" w:space="0"/>
              <w:right w:val="single" w:color="D4D4D4" w:sz="4" w:space="0"/>
            </w:tcBorders>
            <w:shd w:val="clear" w:color="auto" w:fill="FFFFFF"/>
            <w:noWrap/>
            <w:vAlign w:val="center"/>
          </w:tcPr>
          <w:p w14:paraId="03481D2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485.30</w:t>
            </w:r>
          </w:p>
        </w:tc>
        <w:tc>
          <w:tcPr>
            <w:tcW w:w="339" w:type="pct"/>
            <w:tcBorders>
              <w:top w:val="nil"/>
              <w:left w:val="nil"/>
              <w:bottom w:val="single" w:color="D4D4D4" w:sz="4" w:space="0"/>
              <w:right w:val="single" w:color="D4D4D4" w:sz="4" w:space="0"/>
            </w:tcBorders>
            <w:shd w:val="clear" w:color="auto" w:fill="FFFFFF"/>
            <w:noWrap/>
            <w:vAlign w:val="center"/>
          </w:tcPr>
          <w:p w14:paraId="5F7F69F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21CC15D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40" w:type="pct"/>
            <w:tcBorders>
              <w:top w:val="nil"/>
              <w:left w:val="nil"/>
              <w:bottom w:val="single" w:color="D4D4D4" w:sz="4" w:space="0"/>
              <w:right w:val="single" w:color="D4D4D4" w:sz="4" w:space="0"/>
            </w:tcBorders>
            <w:shd w:val="clear" w:color="auto" w:fill="FFFFFF"/>
            <w:noWrap/>
            <w:vAlign w:val="center"/>
          </w:tcPr>
          <w:p w14:paraId="7697703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27A0E9D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0.20</w:t>
            </w:r>
          </w:p>
        </w:tc>
        <w:tc>
          <w:tcPr>
            <w:tcW w:w="339" w:type="pct"/>
            <w:tcBorders>
              <w:top w:val="nil"/>
              <w:left w:val="nil"/>
              <w:bottom w:val="single" w:color="D4D4D4" w:sz="4" w:space="0"/>
              <w:right w:val="single" w:color="D4D4D4" w:sz="4" w:space="0"/>
            </w:tcBorders>
            <w:shd w:val="clear" w:color="auto" w:fill="FFFFFF"/>
            <w:noWrap/>
            <w:vAlign w:val="center"/>
          </w:tcPr>
          <w:p w14:paraId="38E4113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5E91126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0.20</w:t>
            </w:r>
          </w:p>
        </w:tc>
        <w:tc>
          <w:tcPr>
            <w:tcW w:w="339" w:type="pct"/>
            <w:tcBorders>
              <w:top w:val="nil"/>
              <w:left w:val="nil"/>
              <w:bottom w:val="single" w:color="D4D4D4" w:sz="4" w:space="0"/>
              <w:right w:val="single" w:color="D4D4D4" w:sz="4" w:space="0"/>
            </w:tcBorders>
            <w:shd w:val="clear" w:color="auto" w:fill="FFFFFF"/>
            <w:noWrap/>
            <w:vAlign w:val="center"/>
          </w:tcPr>
          <w:p w14:paraId="0DBC024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485.10</w:t>
            </w:r>
          </w:p>
        </w:tc>
        <w:tc>
          <w:tcPr>
            <w:tcW w:w="339" w:type="pct"/>
            <w:tcBorders>
              <w:top w:val="nil"/>
              <w:left w:val="nil"/>
              <w:bottom w:val="single" w:color="D4D4D4" w:sz="4" w:space="0"/>
              <w:right w:val="single" w:color="D4D4D4" w:sz="4" w:space="0"/>
            </w:tcBorders>
            <w:shd w:val="clear" w:color="auto" w:fill="FFFFFF"/>
            <w:noWrap/>
            <w:vAlign w:val="center"/>
          </w:tcPr>
          <w:p w14:paraId="0F2E4F0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44F8B5D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40" w:type="pct"/>
            <w:tcBorders>
              <w:top w:val="nil"/>
              <w:left w:val="nil"/>
              <w:bottom w:val="single" w:color="D4D4D4" w:sz="4" w:space="0"/>
              <w:right w:val="single" w:color="D4D4D4" w:sz="4" w:space="0"/>
            </w:tcBorders>
            <w:shd w:val="clear" w:color="auto" w:fill="FFFFFF"/>
            <w:noWrap/>
            <w:vAlign w:val="center"/>
          </w:tcPr>
          <w:p w14:paraId="5598A2A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7ED74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tcBorders>
              <w:top w:val="nil"/>
              <w:left w:val="nil"/>
              <w:bottom w:val="single" w:color="D4D4D4" w:sz="4" w:space="0"/>
              <w:right w:val="single" w:color="D4D4D4" w:sz="4" w:space="0"/>
            </w:tcBorders>
            <w:shd w:val="clear" w:color="auto" w:fill="FFFFFF"/>
            <w:noWrap/>
            <w:vAlign w:val="center"/>
          </w:tcPr>
          <w:p w14:paraId="2ED6970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省级公共卫生服务专项</w:t>
            </w:r>
          </w:p>
        </w:tc>
        <w:tc>
          <w:tcPr>
            <w:tcW w:w="539" w:type="pct"/>
            <w:tcBorders>
              <w:top w:val="nil"/>
              <w:left w:val="nil"/>
              <w:bottom w:val="single" w:color="D4D4D4" w:sz="4" w:space="0"/>
              <w:right w:val="single" w:color="D4D4D4" w:sz="4" w:space="0"/>
            </w:tcBorders>
            <w:shd w:val="clear" w:color="auto" w:fill="FFFFFF"/>
            <w:noWrap/>
            <w:vAlign w:val="center"/>
          </w:tcPr>
          <w:p w14:paraId="6BFBEF3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6.63</w:t>
            </w:r>
          </w:p>
        </w:tc>
        <w:tc>
          <w:tcPr>
            <w:tcW w:w="339" w:type="pct"/>
            <w:tcBorders>
              <w:top w:val="nil"/>
              <w:left w:val="nil"/>
              <w:bottom w:val="single" w:color="D4D4D4" w:sz="4" w:space="0"/>
              <w:right w:val="single" w:color="D4D4D4" w:sz="4" w:space="0"/>
            </w:tcBorders>
            <w:shd w:val="clear" w:color="auto" w:fill="FFFFFF"/>
            <w:noWrap/>
            <w:vAlign w:val="center"/>
          </w:tcPr>
          <w:p w14:paraId="17FDAE1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6.63</w:t>
            </w:r>
          </w:p>
        </w:tc>
        <w:tc>
          <w:tcPr>
            <w:tcW w:w="339" w:type="pct"/>
            <w:tcBorders>
              <w:top w:val="nil"/>
              <w:left w:val="nil"/>
              <w:bottom w:val="single" w:color="D4D4D4" w:sz="4" w:space="0"/>
              <w:right w:val="single" w:color="D4D4D4" w:sz="4" w:space="0"/>
            </w:tcBorders>
            <w:shd w:val="clear" w:color="auto" w:fill="FFFFFF"/>
            <w:noWrap/>
            <w:vAlign w:val="center"/>
          </w:tcPr>
          <w:p w14:paraId="2FB6A5F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6.63</w:t>
            </w:r>
          </w:p>
        </w:tc>
        <w:tc>
          <w:tcPr>
            <w:tcW w:w="339" w:type="pct"/>
            <w:tcBorders>
              <w:top w:val="nil"/>
              <w:left w:val="nil"/>
              <w:bottom w:val="single" w:color="D4D4D4" w:sz="4" w:space="0"/>
              <w:right w:val="single" w:color="D4D4D4" w:sz="4" w:space="0"/>
            </w:tcBorders>
            <w:shd w:val="clear" w:color="auto" w:fill="FFFFFF"/>
            <w:noWrap/>
            <w:vAlign w:val="center"/>
          </w:tcPr>
          <w:p w14:paraId="2C638C9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40" w:type="pct"/>
            <w:tcBorders>
              <w:top w:val="nil"/>
              <w:left w:val="nil"/>
              <w:bottom w:val="single" w:color="D4D4D4" w:sz="4" w:space="0"/>
              <w:right w:val="single" w:color="D4D4D4" w:sz="4" w:space="0"/>
            </w:tcBorders>
            <w:shd w:val="clear" w:color="auto" w:fill="FFFFFF"/>
            <w:noWrap/>
            <w:vAlign w:val="center"/>
          </w:tcPr>
          <w:p w14:paraId="2E9F99A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1FB2F3F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2F30A5B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79F1F20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214B6C1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6.63</w:t>
            </w:r>
          </w:p>
        </w:tc>
        <w:tc>
          <w:tcPr>
            <w:tcW w:w="339" w:type="pct"/>
            <w:tcBorders>
              <w:top w:val="nil"/>
              <w:left w:val="nil"/>
              <w:bottom w:val="single" w:color="D4D4D4" w:sz="4" w:space="0"/>
              <w:right w:val="single" w:color="D4D4D4" w:sz="4" w:space="0"/>
            </w:tcBorders>
            <w:shd w:val="clear" w:color="auto" w:fill="FFFFFF"/>
            <w:noWrap/>
            <w:vAlign w:val="center"/>
          </w:tcPr>
          <w:p w14:paraId="26548D4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6.63</w:t>
            </w:r>
          </w:p>
        </w:tc>
        <w:tc>
          <w:tcPr>
            <w:tcW w:w="339" w:type="pct"/>
            <w:tcBorders>
              <w:top w:val="nil"/>
              <w:left w:val="nil"/>
              <w:bottom w:val="single" w:color="D4D4D4" w:sz="4" w:space="0"/>
              <w:right w:val="single" w:color="D4D4D4" w:sz="4" w:space="0"/>
            </w:tcBorders>
            <w:shd w:val="clear" w:color="auto" w:fill="FFFFFF"/>
            <w:noWrap/>
            <w:vAlign w:val="center"/>
          </w:tcPr>
          <w:p w14:paraId="4876BB1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6.63</w:t>
            </w:r>
          </w:p>
        </w:tc>
        <w:tc>
          <w:tcPr>
            <w:tcW w:w="340" w:type="pct"/>
            <w:tcBorders>
              <w:top w:val="nil"/>
              <w:left w:val="nil"/>
              <w:bottom w:val="single" w:color="D4D4D4" w:sz="4" w:space="0"/>
              <w:right w:val="single" w:color="D4D4D4" w:sz="4" w:space="0"/>
            </w:tcBorders>
            <w:shd w:val="clear" w:color="auto" w:fill="FFFFFF"/>
            <w:noWrap/>
            <w:vAlign w:val="center"/>
          </w:tcPr>
          <w:p w14:paraId="2FC00B2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473A5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tcBorders>
              <w:top w:val="nil"/>
              <w:left w:val="nil"/>
              <w:bottom w:val="single" w:color="D4D4D4" w:sz="4" w:space="0"/>
              <w:right w:val="single" w:color="D4D4D4" w:sz="4" w:space="0"/>
            </w:tcBorders>
            <w:shd w:val="clear" w:color="auto" w:fill="FFFFFF"/>
            <w:noWrap/>
            <w:vAlign w:val="center"/>
          </w:tcPr>
          <w:p w14:paraId="65EA97D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体系建设</w:t>
            </w:r>
          </w:p>
        </w:tc>
        <w:tc>
          <w:tcPr>
            <w:tcW w:w="539" w:type="pct"/>
            <w:tcBorders>
              <w:top w:val="nil"/>
              <w:left w:val="nil"/>
              <w:bottom w:val="single" w:color="D4D4D4" w:sz="4" w:space="0"/>
              <w:right w:val="single" w:color="D4D4D4" w:sz="4" w:space="0"/>
            </w:tcBorders>
            <w:shd w:val="clear" w:color="auto" w:fill="FFFFFF"/>
            <w:noWrap/>
            <w:vAlign w:val="center"/>
          </w:tcPr>
          <w:p w14:paraId="2C22616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50.91</w:t>
            </w:r>
          </w:p>
        </w:tc>
        <w:tc>
          <w:tcPr>
            <w:tcW w:w="339" w:type="pct"/>
            <w:tcBorders>
              <w:top w:val="nil"/>
              <w:left w:val="nil"/>
              <w:bottom w:val="single" w:color="D4D4D4" w:sz="4" w:space="0"/>
              <w:right w:val="single" w:color="D4D4D4" w:sz="4" w:space="0"/>
            </w:tcBorders>
            <w:shd w:val="clear" w:color="auto" w:fill="FFFFFF"/>
            <w:noWrap/>
            <w:vAlign w:val="center"/>
          </w:tcPr>
          <w:p w14:paraId="19B8460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50.91</w:t>
            </w:r>
          </w:p>
        </w:tc>
        <w:tc>
          <w:tcPr>
            <w:tcW w:w="339" w:type="pct"/>
            <w:tcBorders>
              <w:top w:val="nil"/>
              <w:left w:val="nil"/>
              <w:bottom w:val="single" w:color="D4D4D4" w:sz="4" w:space="0"/>
              <w:right w:val="single" w:color="D4D4D4" w:sz="4" w:space="0"/>
            </w:tcBorders>
            <w:shd w:val="clear" w:color="auto" w:fill="FFFFFF"/>
            <w:noWrap/>
            <w:vAlign w:val="center"/>
          </w:tcPr>
          <w:p w14:paraId="5B7D58F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50.91</w:t>
            </w:r>
          </w:p>
        </w:tc>
        <w:tc>
          <w:tcPr>
            <w:tcW w:w="339" w:type="pct"/>
            <w:tcBorders>
              <w:top w:val="nil"/>
              <w:left w:val="nil"/>
              <w:bottom w:val="single" w:color="D4D4D4" w:sz="4" w:space="0"/>
              <w:right w:val="single" w:color="D4D4D4" w:sz="4" w:space="0"/>
            </w:tcBorders>
            <w:shd w:val="clear" w:color="auto" w:fill="FFFFFF"/>
            <w:noWrap/>
            <w:vAlign w:val="center"/>
          </w:tcPr>
          <w:p w14:paraId="43E3E77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40" w:type="pct"/>
            <w:tcBorders>
              <w:top w:val="nil"/>
              <w:left w:val="nil"/>
              <w:bottom w:val="single" w:color="D4D4D4" w:sz="4" w:space="0"/>
              <w:right w:val="single" w:color="D4D4D4" w:sz="4" w:space="0"/>
            </w:tcBorders>
            <w:shd w:val="clear" w:color="auto" w:fill="FFFFFF"/>
            <w:noWrap/>
            <w:vAlign w:val="center"/>
          </w:tcPr>
          <w:p w14:paraId="5C7BAD3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3B46522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415FADF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37795A5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4EB2A4C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50.91</w:t>
            </w:r>
          </w:p>
        </w:tc>
        <w:tc>
          <w:tcPr>
            <w:tcW w:w="339" w:type="pct"/>
            <w:tcBorders>
              <w:top w:val="nil"/>
              <w:left w:val="nil"/>
              <w:bottom w:val="single" w:color="D4D4D4" w:sz="4" w:space="0"/>
              <w:right w:val="single" w:color="D4D4D4" w:sz="4" w:space="0"/>
            </w:tcBorders>
            <w:shd w:val="clear" w:color="auto" w:fill="FFFFFF"/>
            <w:noWrap/>
            <w:vAlign w:val="center"/>
          </w:tcPr>
          <w:p w14:paraId="00F0987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50.91</w:t>
            </w:r>
          </w:p>
        </w:tc>
        <w:tc>
          <w:tcPr>
            <w:tcW w:w="339" w:type="pct"/>
            <w:tcBorders>
              <w:top w:val="nil"/>
              <w:left w:val="nil"/>
              <w:bottom w:val="single" w:color="D4D4D4" w:sz="4" w:space="0"/>
              <w:right w:val="single" w:color="D4D4D4" w:sz="4" w:space="0"/>
            </w:tcBorders>
            <w:shd w:val="clear" w:color="auto" w:fill="FFFFFF"/>
            <w:noWrap/>
            <w:vAlign w:val="center"/>
          </w:tcPr>
          <w:p w14:paraId="52DCC7F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50.91</w:t>
            </w:r>
          </w:p>
        </w:tc>
        <w:tc>
          <w:tcPr>
            <w:tcW w:w="340" w:type="pct"/>
            <w:tcBorders>
              <w:top w:val="nil"/>
              <w:left w:val="nil"/>
              <w:bottom w:val="single" w:color="D4D4D4" w:sz="4" w:space="0"/>
              <w:right w:val="single" w:color="D4D4D4" w:sz="4" w:space="0"/>
            </w:tcBorders>
            <w:shd w:val="clear" w:color="auto" w:fill="FFFFFF"/>
            <w:noWrap/>
            <w:vAlign w:val="center"/>
          </w:tcPr>
          <w:p w14:paraId="3EAA8C4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41EFE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tcBorders>
              <w:top w:val="nil"/>
              <w:left w:val="nil"/>
              <w:bottom w:val="single" w:color="D4D4D4" w:sz="4" w:space="0"/>
              <w:right w:val="single" w:color="D4D4D4" w:sz="4" w:space="0"/>
            </w:tcBorders>
            <w:shd w:val="clear" w:color="auto" w:fill="FFFFFF"/>
            <w:noWrap/>
            <w:vAlign w:val="center"/>
          </w:tcPr>
          <w:p w14:paraId="04DD756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体制改革处专项</w:t>
            </w:r>
          </w:p>
        </w:tc>
        <w:tc>
          <w:tcPr>
            <w:tcW w:w="539" w:type="pct"/>
            <w:tcBorders>
              <w:top w:val="nil"/>
              <w:left w:val="nil"/>
              <w:bottom w:val="single" w:color="D4D4D4" w:sz="4" w:space="0"/>
              <w:right w:val="single" w:color="D4D4D4" w:sz="4" w:space="0"/>
            </w:tcBorders>
            <w:shd w:val="clear" w:color="auto" w:fill="FFFFFF"/>
            <w:noWrap/>
            <w:vAlign w:val="center"/>
          </w:tcPr>
          <w:p w14:paraId="315DEF9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37.58</w:t>
            </w:r>
          </w:p>
        </w:tc>
        <w:tc>
          <w:tcPr>
            <w:tcW w:w="339" w:type="pct"/>
            <w:tcBorders>
              <w:top w:val="nil"/>
              <w:left w:val="nil"/>
              <w:bottom w:val="single" w:color="D4D4D4" w:sz="4" w:space="0"/>
              <w:right w:val="single" w:color="D4D4D4" w:sz="4" w:space="0"/>
            </w:tcBorders>
            <w:shd w:val="clear" w:color="auto" w:fill="FFFFFF"/>
            <w:noWrap/>
            <w:vAlign w:val="center"/>
          </w:tcPr>
          <w:p w14:paraId="18D4639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51F33BB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51C84FD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37.58</w:t>
            </w:r>
          </w:p>
        </w:tc>
        <w:tc>
          <w:tcPr>
            <w:tcW w:w="340" w:type="pct"/>
            <w:tcBorders>
              <w:top w:val="nil"/>
              <w:left w:val="nil"/>
              <w:bottom w:val="single" w:color="D4D4D4" w:sz="4" w:space="0"/>
              <w:right w:val="single" w:color="D4D4D4" w:sz="4" w:space="0"/>
            </w:tcBorders>
            <w:shd w:val="clear" w:color="auto" w:fill="FFFFFF"/>
            <w:noWrap/>
            <w:vAlign w:val="center"/>
          </w:tcPr>
          <w:p w14:paraId="7D66E46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60692F5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37.58</w:t>
            </w:r>
          </w:p>
        </w:tc>
        <w:tc>
          <w:tcPr>
            <w:tcW w:w="339" w:type="pct"/>
            <w:tcBorders>
              <w:top w:val="nil"/>
              <w:left w:val="nil"/>
              <w:bottom w:val="single" w:color="D4D4D4" w:sz="4" w:space="0"/>
              <w:right w:val="single" w:color="D4D4D4" w:sz="4" w:space="0"/>
            </w:tcBorders>
            <w:shd w:val="clear" w:color="auto" w:fill="FFFFFF"/>
            <w:noWrap/>
            <w:vAlign w:val="center"/>
          </w:tcPr>
          <w:p w14:paraId="50008E8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37.58</w:t>
            </w:r>
          </w:p>
        </w:tc>
        <w:tc>
          <w:tcPr>
            <w:tcW w:w="339" w:type="pct"/>
            <w:tcBorders>
              <w:top w:val="nil"/>
              <w:left w:val="nil"/>
              <w:bottom w:val="single" w:color="D4D4D4" w:sz="4" w:space="0"/>
              <w:right w:val="single" w:color="D4D4D4" w:sz="4" w:space="0"/>
            </w:tcBorders>
            <w:shd w:val="clear" w:color="auto" w:fill="FFFFFF"/>
            <w:noWrap/>
            <w:vAlign w:val="center"/>
          </w:tcPr>
          <w:p w14:paraId="01AEABB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01D9A05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293FF1B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10E25D2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40" w:type="pct"/>
            <w:tcBorders>
              <w:top w:val="nil"/>
              <w:left w:val="nil"/>
              <w:bottom w:val="single" w:color="D4D4D4" w:sz="4" w:space="0"/>
              <w:right w:val="single" w:color="D4D4D4" w:sz="4" w:space="0"/>
            </w:tcBorders>
            <w:shd w:val="clear" w:color="auto" w:fill="FFFFFF"/>
            <w:noWrap/>
            <w:vAlign w:val="center"/>
          </w:tcPr>
          <w:p w14:paraId="73D24F7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014EB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tcBorders>
              <w:top w:val="nil"/>
              <w:left w:val="nil"/>
              <w:bottom w:val="single" w:color="D4D4D4" w:sz="4" w:space="0"/>
              <w:right w:val="single" w:color="D4D4D4" w:sz="4" w:space="0"/>
            </w:tcBorders>
            <w:shd w:val="clear" w:color="auto" w:fill="FFFFFF"/>
            <w:noWrap/>
            <w:vAlign w:val="center"/>
          </w:tcPr>
          <w:p w14:paraId="0B70D62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团委经费</w:t>
            </w:r>
          </w:p>
        </w:tc>
        <w:tc>
          <w:tcPr>
            <w:tcW w:w="539" w:type="pct"/>
            <w:tcBorders>
              <w:top w:val="nil"/>
              <w:left w:val="nil"/>
              <w:bottom w:val="single" w:color="D4D4D4" w:sz="4" w:space="0"/>
              <w:right w:val="single" w:color="D4D4D4" w:sz="4" w:space="0"/>
            </w:tcBorders>
            <w:shd w:val="clear" w:color="auto" w:fill="FFFFFF"/>
            <w:noWrap/>
            <w:vAlign w:val="center"/>
          </w:tcPr>
          <w:p w14:paraId="5919883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11.59</w:t>
            </w:r>
          </w:p>
        </w:tc>
        <w:tc>
          <w:tcPr>
            <w:tcW w:w="339" w:type="pct"/>
            <w:tcBorders>
              <w:top w:val="nil"/>
              <w:left w:val="nil"/>
              <w:bottom w:val="single" w:color="D4D4D4" w:sz="4" w:space="0"/>
              <w:right w:val="single" w:color="D4D4D4" w:sz="4" w:space="0"/>
            </w:tcBorders>
            <w:shd w:val="clear" w:color="auto" w:fill="FFFFFF"/>
            <w:noWrap/>
            <w:vAlign w:val="center"/>
          </w:tcPr>
          <w:p w14:paraId="0049C01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4.50</w:t>
            </w:r>
          </w:p>
        </w:tc>
        <w:tc>
          <w:tcPr>
            <w:tcW w:w="339" w:type="pct"/>
            <w:tcBorders>
              <w:top w:val="nil"/>
              <w:left w:val="nil"/>
              <w:bottom w:val="single" w:color="D4D4D4" w:sz="4" w:space="0"/>
              <w:right w:val="single" w:color="D4D4D4" w:sz="4" w:space="0"/>
            </w:tcBorders>
            <w:shd w:val="clear" w:color="auto" w:fill="FFFFFF"/>
            <w:noWrap/>
            <w:vAlign w:val="center"/>
          </w:tcPr>
          <w:p w14:paraId="40A710A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255F50B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40" w:type="pct"/>
            <w:tcBorders>
              <w:top w:val="nil"/>
              <w:left w:val="nil"/>
              <w:bottom w:val="single" w:color="D4D4D4" w:sz="4" w:space="0"/>
              <w:right w:val="single" w:color="D4D4D4" w:sz="4" w:space="0"/>
            </w:tcBorders>
            <w:shd w:val="clear" w:color="auto" w:fill="FFFFFF"/>
            <w:noWrap/>
            <w:vAlign w:val="center"/>
          </w:tcPr>
          <w:p w14:paraId="3E57EC5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7.09</w:t>
            </w:r>
          </w:p>
        </w:tc>
        <w:tc>
          <w:tcPr>
            <w:tcW w:w="339" w:type="pct"/>
            <w:tcBorders>
              <w:top w:val="nil"/>
              <w:left w:val="nil"/>
              <w:bottom w:val="single" w:color="D4D4D4" w:sz="4" w:space="0"/>
              <w:right w:val="single" w:color="D4D4D4" w:sz="4" w:space="0"/>
            </w:tcBorders>
            <w:shd w:val="clear" w:color="auto" w:fill="FFFFFF"/>
            <w:noWrap/>
            <w:vAlign w:val="center"/>
          </w:tcPr>
          <w:p w14:paraId="72F5D49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3.60</w:t>
            </w:r>
          </w:p>
        </w:tc>
        <w:tc>
          <w:tcPr>
            <w:tcW w:w="339" w:type="pct"/>
            <w:tcBorders>
              <w:top w:val="nil"/>
              <w:left w:val="nil"/>
              <w:bottom w:val="single" w:color="D4D4D4" w:sz="4" w:space="0"/>
              <w:right w:val="single" w:color="D4D4D4" w:sz="4" w:space="0"/>
            </w:tcBorders>
            <w:shd w:val="clear" w:color="auto" w:fill="FFFFFF"/>
            <w:noWrap/>
            <w:vAlign w:val="center"/>
          </w:tcPr>
          <w:p w14:paraId="44AC2C4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6073F66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3.60</w:t>
            </w:r>
          </w:p>
        </w:tc>
        <w:tc>
          <w:tcPr>
            <w:tcW w:w="339" w:type="pct"/>
            <w:tcBorders>
              <w:top w:val="nil"/>
              <w:left w:val="nil"/>
              <w:bottom w:val="single" w:color="D4D4D4" w:sz="4" w:space="0"/>
              <w:right w:val="single" w:color="D4D4D4" w:sz="4" w:space="0"/>
            </w:tcBorders>
            <w:shd w:val="clear" w:color="auto" w:fill="FFFFFF"/>
            <w:noWrap/>
            <w:vAlign w:val="center"/>
          </w:tcPr>
          <w:p w14:paraId="2A2E89F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8.00</w:t>
            </w:r>
          </w:p>
        </w:tc>
        <w:tc>
          <w:tcPr>
            <w:tcW w:w="339" w:type="pct"/>
            <w:tcBorders>
              <w:top w:val="nil"/>
              <w:left w:val="nil"/>
              <w:bottom w:val="single" w:color="D4D4D4" w:sz="4" w:space="0"/>
              <w:right w:val="single" w:color="D4D4D4" w:sz="4" w:space="0"/>
            </w:tcBorders>
            <w:shd w:val="clear" w:color="auto" w:fill="FFFFFF"/>
            <w:noWrap/>
            <w:vAlign w:val="center"/>
          </w:tcPr>
          <w:p w14:paraId="75CCA5A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7659165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40" w:type="pct"/>
            <w:tcBorders>
              <w:top w:val="nil"/>
              <w:left w:val="nil"/>
              <w:bottom w:val="single" w:color="D4D4D4" w:sz="4" w:space="0"/>
              <w:right w:val="single" w:color="D4D4D4" w:sz="4" w:space="0"/>
            </w:tcBorders>
            <w:shd w:val="clear" w:color="auto" w:fill="FFFFFF"/>
            <w:noWrap/>
            <w:vAlign w:val="center"/>
          </w:tcPr>
          <w:p w14:paraId="68F9E86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0A141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tcBorders>
              <w:top w:val="nil"/>
              <w:left w:val="nil"/>
              <w:bottom w:val="single" w:color="D4D4D4" w:sz="4" w:space="0"/>
              <w:right w:val="single" w:color="D4D4D4" w:sz="4" w:space="0"/>
            </w:tcBorders>
            <w:shd w:val="clear" w:color="auto" w:fill="FFFFFF"/>
            <w:noWrap/>
            <w:vAlign w:val="center"/>
          </w:tcPr>
          <w:p w14:paraId="24DC15A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外向型经济发展</w:t>
            </w:r>
          </w:p>
        </w:tc>
        <w:tc>
          <w:tcPr>
            <w:tcW w:w="539" w:type="pct"/>
            <w:tcBorders>
              <w:top w:val="nil"/>
              <w:left w:val="nil"/>
              <w:bottom w:val="single" w:color="D4D4D4" w:sz="4" w:space="0"/>
              <w:right w:val="single" w:color="D4D4D4" w:sz="4" w:space="0"/>
            </w:tcBorders>
            <w:shd w:val="clear" w:color="auto" w:fill="FFFFFF"/>
            <w:noWrap/>
            <w:vAlign w:val="center"/>
          </w:tcPr>
          <w:p w14:paraId="294BD25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0.32</w:t>
            </w:r>
          </w:p>
        </w:tc>
        <w:tc>
          <w:tcPr>
            <w:tcW w:w="339" w:type="pct"/>
            <w:tcBorders>
              <w:top w:val="nil"/>
              <w:left w:val="nil"/>
              <w:bottom w:val="single" w:color="D4D4D4" w:sz="4" w:space="0"/>
              <w:right w:val="single" w:color="D4D4D4" w:sz="4" w:space="0"/>
            </w:tcBorders>
            <w:shd w:val="clear" w:color="auto" w:fill="FFFFFF"/>
            <w:noWrap/>
            <w:vAlign w:val="center"/>
          </w:tcPr>
          <w:p w14:paraId="231B5CF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520ECE5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21E6753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0.32</w:t>
            </w:r>
          </w:p>
        </w:tc>
        <w:tc>
          <w:tcPr>
            <w:tcW w:w="340" w:type="pct"/>
            <w:tcBorders>
              <w:top w:val="nil"/>
              <w:left w:val="nil"/>
              <w:bottom w:val="single" w:color="D4D4D4" w:sz="4" w:space="0"/>
              <w:right w:val="single" w:color="D4D4D4" w:sz="4" w:space="0"/>
            </w:tcBorders>
            <w:shd w:val="clear" w:color="auto" w:fill="FFFFFF"/>
            <w:noWrap/>
            <w:vAlign w:val="center"/>
          </w:tcPr>
          <w:p w14:paraId="4AF67A2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28B32A3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0.32</w:t>
            </w:r>
          </w:p>
        </w:tc>
        <w:tc>
          <w:tcPr>
            <w:tcW w:w="339" w:type="pct"/>
            <w:tcBorders>
              <w:top w:val="nil"/>
              <w:left w:val="nil"/>
              <w:bottom w:val="single" w:color="D4D4D4" w:sz="4" w:space="0"/>
              <w:right w:val="single" w:color="D4D4D4" w:sz="4" w:space="0"/>
            </w:tcBorders>
            <w:shd w:val="clear" w:color="auto" w:fill="FFFFFF"/>
            <w:noWrap/>
            <w:vAlign w:val="center"/>
          </w:tcPr>
          <w:p w14:paraId="056A850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0.32</w:t>
            </w:r>
          </w:p>
        </w:tc>
        <w:tc>
          <w:tcPr>
            <w:tcW w:w="339" w:type="pct"/>
            <w:tcBorders>
              <w:top w:val="nil"/>
              <w:left w:val="nil"/>
              <w:bottom w:val="single" w:color="D4D4D4" w:sz="4" w:space="0"/>
              <w:right w:val="single" w:color="D4D4D4" w:sz="4" w:space="0"/>
            </w:tcBorders>
            <w:shd w:val="clear" w:color="auto" w:fill="FFFFFF"/>
            <w:noWrap/>
            <w:vAlign w:val="center"/>
          </w:tcPr>
          <w:p w14:paraId="505A611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37800AE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01B47C5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2E6AAC7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40" w:type="pct"/>
            <w:tcBorders>
              <w:top w:val="nil"/>
              <w:left w:val="nil"/>
              <w:bottom w:val="single" w:color="D4D4D4" w:sz="4" w:space="0"/>
              <w:right w:val="single" w:color="D4D4D4" w:sz="4" w:space="0"/>
            </w:tcBorders>
            <w:shd w:val="clear" w:color="auto" w:fill="FFFFFF"/>
            <w:noWrap/>
            <w:vAlign w:val="center"/>
          </w:tcPr>
          <w:p w14:paraId="7AD0407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2E3F2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tcBorders>
              <w:top w:val="nil"/>
              <w:left w:val="nil"/>
              <w:bottom w:val="single" w:color="D4D4D4" w:sz="4" w:space="0"/>
              <w:right w:val="single" w:color="D4D4D4" w:sz="4" w:space="0"/>
            </w:tcBorders>
            <w:shd w:val="clear" w:color="auto" w:fill="FFFFFF"/>
            <w:noWrap/>
            <w:vAlign w:val="center"/>
          </w:tcPr>
          <w:p w14:paraId="52960CC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委机关会议培训专项</w:t>
            </w:r>
          </w:p>
        </w:tc>
        <w:tc>
          <w:tcPr>
            <w:tcW w:w="539" w:type="pct"/>
            <w:tcBorders>
              <w:top w:val="nil"/>
              <w:left w:val="nil"/>
              <w:bottom w:val="single" w:color="D4D4D4" w:sz="4" w:space="0"/>
              <w:right w:val="single" w:color="D4D4D4" w:sz="4" w:space="0"/>
            </w:tcBorders>
            <w:shd w:val="clear" w:color="auto" w:fill="FFFFFF"/>
            <w:noWrap/>
            <w:vAlign w:val="center"/>
          </w:tcPr>
          <w:p w14:paraId="7490BB5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77.61</w:t>
            </w:r>
          </w:p>
        </w:tc>
        <w:tc>
          <w:tcPr>
            <w:tcW w:w="339" w:type="pct"/>
            <w:tcBorders>
              <w:top w:val="nil"/>
              <w:left w:val="nil"/>
              <w:bottom w:val="single" w:color="D4D4D4" w:sz="4" w:space="0"/>
              <w:right w:val="single" w:color="D4D4D4" w:sz="4" w:space="0"/>
            </w:tcBorders>
            <w:shd w:val="clear" w:color="auto" w:fill="FFFFFF"/>
            <w:noWrap/>
            <w:vAlign w:val="center"/>
          </w:tcPr>
          <w:p w14:paraId="05CE557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0.40</w:t>
            </w:r>
          </w:p>
        </w:tc>
        <w:tc>
          <w:tcPr>
            <w:tcW w:w="339" w:type="pct"/>
            <w:tcBorders>
              <w:top w:val="nil"/>
              <w:left w:val="nil"/>
              <w:bottom w:val="single" w:color="D4D4D4" w:sz="4" w:space="0"/>
              <w:right w:val="single" w:color="D4D4D4" w:sz="4" w:space="0"/>
            </w:tcBorders>
            <w:shd w:val="clear" w:color="auto" w:fill="FFFFFF"/>
            <w:noWrap/>
            <w:vAlign w:val="center"/>
          </w:tcPr>
          <w:p w14:paraId="18B79BE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0.40</w:t>
            </w:r>
          </w:p>
        </w:tc>
        <w:tc>
          <w:tcPr>
            <w:tcW w:w="339" w:type="pct"/>
            <w:tcBorders>
              <w:top w:val="nil"/>
              <w:left w:val="nil"/>
              <w:bottom w:val="single" w:color="D4D4D4" w:sz="4" w:space="0"/>
              <w:right w:val="single" w:color="D4D4D4" w:sz="4" w:space="0"/>
            </w:tcBorders>
            <w:shd w:val="clear" w:color="auto" w:fill="FFFFFF"/>
            <w:noWrap/>
            <w:vAlign w:val="center"/>
          </w:tcPr>
          <w:p w14:paraId="5883C48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77.21</w:t>
            </w:r>
          </w:p>
        </w:tc>
        <w:tc>
          <w:tcPr>
            <w:tcW w:w="340" w:type="pct"/>
            <w:tcBorders>
              <w:top w:val="nil"/>
              <w:left w:val="nil"/>
              <w:bottom w:val="single" w:color="D4D4D4" w:sz="4" w:space="0"/>
              <w:right w:val="single" w:color="D4D4D4" w:sz="4" w:space="0"/>
            </w:tcBorders>
            <w:shd w:val="clear" w:color="auto" w:fill="FFFFFF"/>
            <w:noWrap/>
            <w:vAlign w:val="center"/>
          </w:tcPr>
          <w:p w14:paraId="2BA1028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693A8FA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77.21</w:t>
            </w:r>
          </w:p>
        </w:tc>
        <w:tc>
          <w:tcPr>
            <w:tcW w:w="339" w:type="pct"/>
            <w:tcBorders>
              <w:top w:val="nil"/>
              <w:left w:val="nil"/>
              <w:bottom w:val="single" w:color="D4D4D4" w:sz="4" w:space="0"/>
              <w:right w:val="single" w:color="D4D4D4" w:sz="4" w:space="0"/>
            </w:tcBorders>
            <w:shd w:val="clear" w:color="auto" w:fill="FFFFFF"/>
            <w:noWrap/>
            <w:vAlign w:val="center"/>
          </w:tcPr>
          <w:p w14:paraId="4E33995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77.21</w:t>
            </w:r>
          </w:p>
        </w:tc>
        <w:tc>
          <w:tcPr>
            <w:tcW w:w="339" w:type="pct"/>
            <w:tcBorders>
              <w:top w:val="nil"/>
              <w:left w:val="nil"/>
              <w:bottom w:val="single" w:color="D4D4D4" w:sz="4" w:space="0"/>
              <w:right w:val="single" w:color="D4D4D4" w:sz="4" w:space="0"/>
            </w:tcBorders>
            <w:shd w:val="clear" w:color="auto" w:fill="FFFFFF"/>
            <w:noWrap/>
            <w:vAlign w:val="center"/>
          </w:tcPr>
          <w:p w14:paraId="4D289CF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636E3E9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0.40</w:t>
            </w:r>
          </w:p>
        </w:tc>
        <w:tc>
          <w:tcPr>
            <w:tcW w:w="339" w:type="pct"/>
            <w:tcBorders>
              <w:top w:val="nil"/>
              <w:left w:val="nil"/>
              <w:bottom w:val="single" w:color="D4D4D4" w:sz="4" w:space="0"/>
              <w:right w:val="single" w:color="D4D4D4" w:sz="4" w:space="0"/>
            </w:tcBorders>
            <w:shd w:val="clear" w:color="auto" w:fill="FFFFFF"/>
            <w:noWrap/>
            <w:vAlign w:val="center"/>
          </w:tcPr>
          <w:p w14:paraId="7C0B90E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0.40</w:t>
            </w:r>
          </w:p>
        </w:tc>
        <w:tc>
          <w:tcPr>
            <w:tcW w:w="339" w:type="pct"/>
            <w:tcBorders>
              <w:top w:val="nil"/>
              <w:left w:val="nil"/>
              <w:bottom w:val="single" w:color="D4D4D4" w:sz="4" w:space="0"/>
              <w:right w:val="single" w:color="D4D4D4" w:sz="4" w:space="0"/>
            </w:tcBorders>
            <w:shd w:val="clear" w:color="auto" w:fill="FFFFFF"/>
            <w:noWrap/>
            <w:vAlign w:val="center"/>
          </w:tcPr>
          <w:p w14:paraId="6002AB3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0.40</w:t>
            </w:r>
          </w:p>
        </w:tc>
        <w:tc>
          <w:tcPr>
            <w:tcW w:w="340" w:type="pct"/>
            <w:tcBorders>
              <w:top w:val="nil"/>
              <w:left w:val="nil"/>
              <w:bottom w:val="single" w:color="D4D4D4" w:sz="4" w:space="0"/>
              <w:right w:val="single" w:color="D4D4D4" w:sz="4" w:space="0"/>
            </w:tcBorders>
            <w:shd w:val="clear" w:color="auto" w:fill="FFFFFF"/>
            <w:noWrap/>
            <w:vAlign w:val="center"/>
          </w:tcPr>
          <w:p w14:paraId="5E6CF76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013AF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tcBorders>
              <w:top w:val="nil"/>
              <w:left w:val="nil"/>
              <w:bottom w:val="single" w:color="D4D4D4" w:sz="4" w:space="0"/>
              <w:right w:val="single" w:color="D4D4D4" w:sz="4" w:space="0"/>
            </w:tcBorders>
            <w:shd w:val="clear" w:color="auto" w:fill="FFFFFF"/>
            <w:noWrap/>
            <w:vAlign w:val="center"/>
          </w:tcPr>
          <w:p w14:paraId="2263ECD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卫生监督专项</w:t>
            </w:r>
          </w:p>
        </w:tc>
        <w:tc>
          <w:tcPr>
            <w:tcW w:w="539" w:type="pct"/>
            <w:tcBorders>
              <w:top w:val="nil"/>
              <w:left w:val="nil"/>
              <w:bottom w:val="single" w:color="D4D4D4" w:sz="4" w:space="0"/>
              <w:right w:val="single" w:color="D4D4D4" w:sz="4" w:space="0"/>
            </w:tcBorders>
            <w:shd w:val="clear" w:color="auto" w:fill="FFFFFF"/>
            <w:noWrap/>
            <w:vAlign w:val="center"/>
          </w:tcPr>
          <w:p w14:paraId="40531BC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80.91</w:t>
            </w:r>
          </w:p>
        </w:tc>
        <w:tc>
          <w:tcPr>
            <w:tcW w:w="339" w:type="pct"/>
            <w:tcBorders>
              <w:top w:val="nil"/>
              <w:left w:val="nil"/>
              <w:bottom w:val="single" w:color="D4D4D4" w:sz="4" w:space="0"/>
              <w:right w:val="single" w:color="D4D4D4" w:sz="4" w:space="0"/>
            </w:tcBorders>
            <w:shd w:val="clear" w:color="auto" w:fill="FFFFFF"/>
            <w:noWrap/>
            <w:vAlign w:val="center"/>
          </w:tcPr>
          <w:p w14:paraId="1627D15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3A8CE40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3C8D9E1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80.91</w:t>
            </w:r>
          </w:p>
        </w:tc>
        <w:tc>
          <w:tcPr>
            <w:tcW w:w="340" w:type="pct"/>
            <w:tcBorders>
              <w:top w:val="nil"/>
              <w:left w:val="nil"/>
              <w:bottom w:val="single" w:color="D4D4D4" w:sz="4" w:space="0"/>
              <w:right w:val="single" w:color="D4D4D4" w:sz="4" w:space="0"/>
            </w:tcBorders>
            <w:shd w:val="clear" w:color="auto" w:fill="FFFFFF"/>
            <w:noWrap/>
            <w:vAlign w:val="center"/>
          </w:tcPr>
          <w:p w14:paraId="55C0843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122760B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80.91</w:t>
            </w:r>
          </w:p>
        </w:tc>
        <w:tc>
          <w:tcPr>
            <w:tcW w:w="339" w:type="pct"/>
            <w:tcBorders>
              <w:top w:val="nil"/>
              <w:left w:val="nil"/>
              <w:bottom w:val="single" w:color="D4D4D4" w:sz="4" w:space="0"/>
              <w:right w:val="single" w:color="D4D4D4" w:sz="4" w:space="0"/>
            </w:tcBorders>
            <w:shd w:val="clear" w:color="auto" w:fill="FFFFFF"/>
            <w:noWrap/>
            <w:vAlign w:val="center"/>
          </w:tcPr>
          <w:p w14:paraId="673F4F2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80.91</w:t>
            </w:r>
          </w:p>
        </w:tc>
        <w:tc>
          <w:tcPr>
            <w:tcW w:w="339" w:type="pct"/>
            <w:tcBorders>
              <w:top w:val="nil"/>
              <w:left w:val="nil"/>
              <w:bottom w:val="single" w:color="D4D4D4" w:sz="4" w:space="0"/>
              <w:right w:val="single" w:color="D4D4D4" w:sz="4" w:space="0"/>
            </w:tcBorders>
            <w:shd w:val="clear" w:color="auto" w:fill="FFFFFF"/>
            <w:noWrap/>
            <w:vAlign w:val="center"/>
          </w:tcPr>
          <w:p w14:paraId="699A179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578FC5E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634DFFE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1EB4771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40" w:type="pct"/>
            <w:tcBorders>
              <w:top w:val="nil"/>
              <w:left w:val="nil"/>
              <w:bottom w:val="single" w:color="D4D4D4" w:sz="4" w:space="0"/>
              <w:right w:val="single" w:color="D4D4D4" w:sz="4" w:space="0"/>
            </w:tcBorders>
            <w:shd w:val="clear" w:color="auto" w:fill="FFFFFF"/>
            <w:noWrap/>
            <w:vAlign w:val="center"/>
          </w:tcPr>
          <w:p w14:paraId="3E7FEF5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5AB30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tcBorders>
              <w:top w:val="nil"/>
              <w:left w:val="nil"/>
              <w:bottom w:val="single" w:color="D4D4D4" w:sz="4" w:space="0"/>
              <w:right w:val="single" w:color="D4D4D4" w:sz="4" w:space="0"/>
            </w:tcBorders>
            <w:shd w:val="clear" w:color="auto" w:fill="FFFFFF"/>
            <w:noWrap/>
            <w:vAlign w:val="center"/>
          </w:tcPr>
          <w:p w14:paraId="061342E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卫生健康宣传专项</w:t>
            </w:r>
          </w:p>
        </w:tc>
        <w:tc>
          <w:tcPr>
            <w:tcW w:w="539" w:type="pct"/>
            <w:tcBorders>
              <w:top w:val="nil"/>
              <w:left w:val="nil"/>
              <w:bottom w:val="single" w:color="D4D4D4" w:sz="4" w:space="0"/>
              <w:right w:val="single" w:color="D4D4D4" w:sz="4" w:space="0"/>
            </w:tcBorders>
            <w:shd w:val="clear" w:color="auto" w:fill="FFFFFF"/>
            <w:noWrap/>
            <w:vAlign w:val="center"/>
          </w:tcPr>
          <w:p w14:paraId="2C0E13D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138.63</w:t>
            </w:r>
          </w:p>
        </w:tc>
        <w:tc>
          <w:tcPr>
            <w:tcW w:w="339" w:type="pct"/>
            <w:tcBorders>
              <w:top w:val="nil"/>
              <w:left w:val="nil"/>
              <w:bottom w:val="single" w:color="D4D4D4" w:sz="4" w:space="0"/>
              <w:right w:val="single" w:color="D4D4D4" w:sz="4" w:space="0"/>
            </w:tcBorders>
            <w:shd w:val="clear" w:color="auto" w:fill="FFFFFF"/>
            <w:noWrap/>
            <w:vAlign w:val="center"/>
          </w:tcPr>
          <w:p w14:paraId="4B22CAB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7729B75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353E4DD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138.63</w:t>
            </w:r>
          </w:p>
        </w:tc>
        <w:tc>
          <w:tcPr>
            <w:tcW w:w="340" w:type="pct"/>
            <w:tcBorders>
              <w:top w:val="nil"/>
              <w:left w:val="nil"/>
              <w:bottom w:val="single" w:color="D4D4D4" w:sz="4" w:space="0"/>
              <w:right w:val="single" w:color="D4D4D4" w:sz="4" w:space="0"/>
            </w:tcBorders>
            <w:shd w:val="clear" w:color="auto" w:fill="FFFFFF"/>
            <w:noWrap/>
            <w:vAlign w:val="center"/>
          </w:tcPr>
          <w:p w14:paraId="4255089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6FB3F9B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138.63</w:t>
            </w:r>
          </w:p>
        </w:tc>
        <w:tc>
          <w:tcPr>
            <w:tcW w:w="339" w:type="pct"/>
            <w:tcBorders>
              <w:top w:val="nil"/>
              <w:left w:val="nil"/>
              <w:bottom w:val="single" w:color="D4D4D4" w:sz="4" w:space="0"/>
              <w:right w:val="single" w:color="D4D4D4" w:sz="4" w:space="0"/>
            </w:tcBorders>
            <w:shd w:val="clear" w:color="auto" w:fill="FFFFFF"/>
            <w:noWrap/>
            <w:vAlign w:val="center"/>
          </w:tcPr>
          <w:p w14:paraId="57E0700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138.63</w:t>
            </w:r>
          </w:p>
        </w:tc>
        <w:tc>
          <w:tcPr>
            <w:tcW w:w="339" w:type="pct"/>
            <w:tcBorders>
              <w:top w:val="nil"/>
              <w:left w:val="nil"/>
              <w:bottom w:val="single" w:color="D4D4D4" w:sz="4" w:space="0"/>
              <w:right w:val="single" w:color="D4D4D4" w:sz="4" w:space="0"/>
            </w:tcBorders>
            <w:shd w:val="clear" w:color="auto" w:fill="FFFFFF"/>
            <w:noWrap/>
            <w:vAlign w:val="center"/>
          </w:tcPr>
          <w:p w14:paraId="29CBFA8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2358286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5D19FE1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0F11AC5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40" w:type="pct"/>
            <w:tcBorders>
              <w:top w:val="nil"/>
              <w:left w:val="nil"/>
              <w:bottom w:val="single" w:color="D4D4D4" w:sz="4" w:space="0"/>
              <w:right w:val="single" w:color="D4D4D4" w:sz="4" w:space="0"/>
            </w:tcBorders>
            <w:shd w:val="clear" w:color="auto" w:fill="FFFFFF"/>
            <w:noWrap/>
            <w:vAlign w:val="center"/>
          </w:tcPr>
          <w:p w14:paraId="701BDE7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08650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tcBorders>
              <w:top w:val="nil"/>
              <w:left w:val="nil"/>
              <w:bottom w:val="single" w:color="D4D4D4" w:sz="4" w:space="0"/>
              <w:right w:val="single" w:color="D4D4D4" w:sz="4" w:space="0"/>
            </w:tcBorders>
            <w:shd w:val="clear" w:color="auto" w:fill="FFFFFF"/>
            <w:noWrap/>
            <w:vAlign w:val="center"/>
          </w:tcPr>
          <w:p w14:paraId="24A49E9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卫生专业技术考试非税专项</w:t>
            </w:r>
          </w:p>
        </w:tc>
        <w:tc>
          <w:tcPr>
            <w:tcW w:w="539" w:type="pct"/>
            <w:tcBorders>
              <w:top w:val="nil"/>
              <w:left w:val="nil"/>
              <w:bottom w:val="single" w:color="D4D4D4" w:sz="4" w:space="0"/>
              <w:right w:val="single" w:color="D4D4D4" w:sz="4" w:space="0"/>
            </w:tcBorders>
            <w:shd w:val="clear" w:color="auto" w:fill="FFFFFF"/>
            <w:noWrap/>
            <w:vAlign w:val="center"/>
          </w:tcPr>
          <w:p w14:paraId="709E2CD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743.79</w:t>
            </w:r>
          </w:p>
        </w:tc>
        <w:tc>
          <w:tcPr>
            <w:tcW w:w="339" w:type="pct"/>
            <w:tcBorders>
              <w:top w:val="nil"/>
              <w:left w:val="nil"/>
              <w:bottom w:val="single" w:color="D4D4D4" w:sz="4" w:space="0"/>
              <w:right w:val="single" w:color="D4D4D4" w:sz="4" w:space="0"/>
            </w:tcBorders>
            <w:shd w:val="clear" w:color="auto" w:fill="FFFFFF"/>
            <w:noWrap/>
            <w:vAlign w:val="center"/>
          </w:tcPr>
          <w:p w14:paraId="5E8FE30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532.67</w:t>
            </w:r>
          </w:p>
        </w:tc>
        <w:tc>
          <w:tcPr>
            <w:tcW w:w="339" w:type="pct"/>
            <w:tcBorders>
              <w:top w:val="nil"/>
              <w:left w:val="nil"/>
              <w:bottom w:val="single" w:color="D4D4D4" w:sz="4" w:space="0"/>
              <w:right w:val="single" w:color="D4D4D4" w:sz="4" w:space="0"/>
            </w:tcBorders>
            <w:shd w:val="clear" w:color="auto" w:fill="FFFFFF"/>
            <w:noWrap/>
            <w:vAlign w:val="center"/>
          </w:tcPr>
          <w:p w14:paraId="55727CA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18.39</w:t>
            </w:r>
          </w:p>
        </w:tc>
        <w:tc>
          <w:tcPr>
            <w:tcW w:w="339" w:type="pct"/>
            <w:tcBorders>
              <w:top w:val="nil"/>
              <w:left w:val="nil"/>
              <w:bottom w:val="single" w:color="D4D4D4" w:sz="4" w:space="0"/>
              <w:right w:val="single" w:color="D4D4D4" w:sz="4" w:space="0"/>
            </w:tcBorders>
            <w:shd w:val="clear" w:color="auto" w:fill="FFFFFF"/>
            <w:noWrap/>
            <w:vAlign w:val="center"/>
          </w:tcPr>
          <w:p w14:paraId="5531E9F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54.00</w:t>
            </w:r>
          </w:p>
        </w:tc>
        <w:tc>
          <w:tcPr>
            <w:tcW w:w="340" w:type="pct"/>
            <w:tcBorders>
              <w:top w:val="nil"/>
              <w:left w:val="nil"/>
              <w:bottom w:val="single" w:color="D4D4D4" w:sz="4" w:space="0"/>
              <w:right w:val="single" w:color="D4D4D4" w:sz="4" w:space="0"/>
            </w:tcBorders>
            <w:shd w:val="clear" w:color="auto" w:fill="FFFFFF"/>
            <w:noWrap/>
            <w:vAlign w:val="center"/>
          </w:tcPr>
          <w:p w14:paraId="3816BDC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157.12</w:t>
            </w:r>
          </w:p>
        </w:tc>
        <w:tc>
          <w:tcPr>
            <w:tcW w:w="339" w:type="pct"/>
            <w:tcBorders>
              <w:top w:val="nil"/>
              <w:left w:val="nil"/>
              <w:bottom w:val="single" w:color="D4D4D4" w:sz="4" w:space="0"/>
              <w:right w:val="single" w:color="D4D4D4" w:sz="4" w:space="0"/>
            </w:tcBorders>
            <w:shd w:val="clear" w:color="auto" w:fill="FFFFFF"/>
            <w:noWrap/>
            <w:vAlign w:val="center"/>
          </w:tcPr>
          <w:p w14:paraId="50295D1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192.64</w:t>
            </w:r>
          </w:p>
        </w:tc>
        <w:tc>
          <w:tcPr>
            <w:tcW w:w="339" w:type="pct"/>
            <w:tcBorders>
              <w:top w:val="nil"/>
              <w:left w:val="nil"/>
              <w:bottom w:val="single" w:color="D4D4D4" w:sz="4" w:space="0"/>
              <w:right w:val="single" w:color="D4D4D4" w:sz="4" w:space="0"/>
            </w:tcBorders>
            <w:shd w:val="clear" w:color="auto" w:fill="FFFFFF"/>
            <w:noWrap/>
            <w:vAlign w:val="center"/>
          </w:tcPr>
          <w:p w14:paraId="3BBECFC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54.00</w:t>
            </w:r>
          </w:p>
        </w:tc>
        <w:tc>
          <w:tcPr>
            <w:tcW w:w="339" w:type="pct"/>
            <w:tcBorders>
              <w:top w:val="nil"/>
              <w:left w:val="nil"/>
              <w:bottom w:val="single" w:color="D4D4D4" w:sz="4" w:space="0"/>
              <w:right w:val="single" w:color="D4D4D4" w:sz="4" w:space="0"/>
            </w:tcBorders>
            <w:shd w:val="clear" w:color="auto" w:fill="FFFFFF"/>
            <w:noWrap/>
            <w:vAlign w:val="center"/>
          </w:tcPr>
          <w:p w14:paraId="7985910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138.64</w:t>
            </w:r>
          </w:p>
        </w:tc>
        <w:tc>
          <w:tcPr>
            <w:tcW w:w="339" w:type="pct"/>
            <w:tcBorders>
              <w:top w:val="nil"/>
              <w:left w:val="nil"/>
              <w:bottom w:val="single" w:color="D4D4D4" w:sz="4" w:space="0"/>
              <w:right w:val="single" w:color="D4D4D4" w:sz="4" w:space="0"/>
            </w:tcBorders>
            <w:shd w:val="clear" w:color="auto" w:fill="FFFFFF"/>
            <w:noWrap/>
            <w:vAlign w:val="center"/>
          </w:tcPr>
          <w:p w14:paraId="05E61A0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551.15</w:t>
            </w:r>
          </w:p>
        </w:tc>
        <w:tc>
          <w:tcPr>
            <w:tcW w:w="339" w:type="pct"/>
            <w:tcBorders>
              <w:top w:val="nil"/>
              <w:left w:val="nil"/>
              <w:bottom w:val="single" w:color="D4D4D4" w:sz="4" w:space="0"/>
              <w:right w:val="single" w:color="D4D4D4" w:sz="4" w:space="0"/>
            </w:tcBorders>
            <w:shd w:val="clear" w:color="auto" w:fill="FFFFFF"/>
            <w:noWrap/>
            <w:vAlign w:val="center"/>
          </w:tcPr>
          <w:p w14:paraId="7A838C8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18.39</w:t>
            </w:r>
          </w:p>
        </w:tc>
        <w:tc>
          <w:tcPr>
            <w:tcW w:w="339" w:type="pct"/>
            <w:tcBorders>
              <w:top w:val="nil"/>
              <w:left w:val="nil"/>
              <w:bottom w:val="single" w:color="D4D4D4" w:sz="4" w:space="0"/>
              <w:right w:val="single" w:color="D4D4D4" w:sz="4" w:space="0"/>
            </w:tcBorders>
            <w:shd w:val="clear" w:color="auto" w:fill="FFFFFF"/>
            <w:noWrap/>
            <w:vAlign w:val="center"/>
          </w:tcPr>
          <w:p w14:paraId="28E8F2C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18.39</w:t>
            </w:r>
          </w:p>
        </w:tc>
        <w:tc>
          <w:tcPr>
            <w:tcW w:w="340" w:type="pct"/>
            <w:tcBorders>
              <w:top w:val="nil"/>
              <w:left w:val="nil"/>
              <w:bottom w:val="single" w:color="D4D4D4" w:sz="4" w:space="0"/>
              <w:right w:val="single" w:color="D4D4D4" w:sz="4" w:space="0"/>
            </w:tcBorders>
            <w:shd w:val="clear" w:color="auto" w:fill="FFFFFF"/>
            <w:noWrap/>
            <w:vAlign w:val="center"/>
          </w:tcPr>
          <w:p w14:paraId="52CB99C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5BD12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tcBorders>
              <w:top w:val="nil"/>
              <w:left w:val="nil"/>
              <w:bottom w:val="single" w:color="D4D4D4" w:sz="4" w:space="0"/>
              <w:right w:val="single" w:color="D4D4D4" w:sz="4" w:space="0"/>
            </w:tcBorders>
            <w:shd w:val="clear" w:color="auto" w:fill="FFFFFF"/>
            <w:noWrap/>
            <w:vAlign w:val="center"/>
          </w:tcPr>
          <w:p w14:paraId="34FCB6B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新冠肺炎疫情防控专项</w:t>
            </w:r>
          </w:p>
        </w:tc>
        <w:tc>
          <w:tcPr>
            <w:tcW w:w="539" w:type="pct"/>
            <w:tcBorders>
              <w:top w:val="nil"/>
              <w:left w:val="nil"/>
              <w:bottom w:val="single" w:color="D4D4D4" w:sz="4" w:space="0"/>
              <w:right w:val="single" w:color="D4D4D4" w:sz="4" w:space="0"/>
            </w:tcBorders>
            <w:shd w:val="clear" w:color="auto" w:fill="FFFFFF"/>
            <w:noWrap/>
            <w:vAlign w:val="center"/>
          </w:tcPr>
          <w:p w14:paraId="1C81CE1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103.15</w:t>
            </w:r>
          </w:p>
        </w:tc>
        <w:tc>
          <w:tcPr>
            <w:tcW w:w="339" w:type="pct"/>
            <w:tcBorders>
              <w:top w:val="nil"/>
              <w:left w:val="nil"/>
              <w:bottom w:val="single" w:color="D4D4D4" w:sz="4" w:space="0"/>
              <w:right w:val="single" w:color="D4D4D4" w:sz="4" w:space="0"/>
            </w:tcBorders>
            <w:shd w:val="clear" w:color="auto" w:fill="FFFFFF"/>
            <w:noWrap/>
            <w:vAlign w:val="center"/>
          </w:tcPr>
          <w:p w14:paraId="4A0207E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103.15</w:t>
            </w:r>
          </w:p>
        </w:tc>
        <w:tc>
          <w:tcPr>
            <w:tcW w:w="339" w:type="pct"/>
            <w:tcBorders>
              <w:top w:val="nil"/>
              <w:left w:val="nil"/>
              <w:bottom w:val="single" w:color="D4D4D4" w:sz="4" w:space="0"/>
              <w:right w:val="single" w:color="D4D4D4" w:sz="4" w:space="0"/>
            </w:tcBorders>
            <w:shd w:val="clear" w:color="auto" w:fill="FFFFFF"/>
            <w:noWrap/>
            <w:vAlign w:val="center"/>
          </w:tcPr>
          <w:p w14:paraId="7154931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103.15</w:t>
            </w:r>
          </w:p>
        </w:tc>
        <w:tc>
          <w:tcPr>
            <w:tcW w:w="339" w:type="pct"/>
            <w:tcBorders>
              <w:top w:val="nil"/>
              <w:left w:val="nil"/>
              <w:bottom w:val="single" w:color="D4D4D4" w:sz="4" w:space="0"/>
              <w:right w:val="single" w:color="D4D4D4" w:sz="4" w:space="0"/>
            </w:tcBorders>
            <w:shd w:val="clear" w:color="auto" w:fill="FFFFFF"/>
            <w:noWrap/>
            <w:vAlign w:val="center"/>
          </w:tcPr>
          <w:p w14:paraId="7EA5778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40" w:type="pct"/>
            <w:tcBorders>
              <w:top w:val="nil"/>
              <w:left w:val="nil"/>
              <w:bottom w:val="single" w:color="D4D4D4" w:sz="4" w:space="0"/>
              <w:right w:val="single" w:color="D4D4D4" w:sz="4" w:space="0"/>
            </w:tcBorders>
            <w:shd w:val="clear" w:color="auto" w:fill="FFFFFF"/>
            <w:noWrap/>
            <w:vAlign w:val="center"/>
          </w:tcPr>
          <w:p w14:paraId="5860BC5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5046D07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60460BB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04D1176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5A2CBA7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103.15</w:t>
            </w:r>
          </w:p>
        </w:tc>
        <w:tc>
          <w:tcPr>
            <w:tcW w:w="339" w:type="pct"/>
            <w:tcBorders>
              <w:top w:val="nil"/>
              <w:left w:val="nil"/>
              <w:bottom w:val="single" w:color="D4D4D4" w:sz="4" w:space="0"/>
              <w:right w:val="single" w:color="D4D4D4" w:sz="4" w:space="0"/>
            </w:tcBorders>
            <w:shd w:val="clear" w:color="auto" w:fill="FFFFFF"/>
            <w:noWrap/>
            <w:vAlign w:val="center"/>
          </w:tcPr>
          <w:p w14:paraId="1EFABDB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103.15</w:t>
            </w:r>
          </w:p>
        </w:tc>
        <w:tc>
          <w:tcPr>
            <w:tcW w:w="339" w:type="pct"/>
            <w:tcBorders>
              <w:top w:val="nil"/>
              <w:left w:val="nil"/>
              <w:bottom w:val="single" w:color="D4D4D4" w:sz="4" w:space="0"/>
              <w:right w:val="single" w:color="D4D4D4" w:sz="4" w:space="0"/>
            </w:tcBorders>
            <w:shd w:val="clear" w:color="auto" w:fill="FFFFFF"/>
            <w:noWrap/>
            <w:vAlign w:val="center"/>
          </w:tcPr>
          <w:p w14:paraId="6F8C141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103.15</w:t>
            </w:r>
          </w:p>
        </w:tc>
        <w:tc>
          <w:tcPr>
            <w:tcW w:w="340" w:type="pct"/>
            <w:tcBorders>
              <w:top w:val="nil"/>
              <w:left w:val="nil"/>
              <w:bottom w:val="single" w:color="D4D4D4" w:sz="4" w:space="0"/>
              <w:right w:val="single" w:color="D4D4D4" w:sz="4" w:space="0"/>
            </w:tcBorders>
            <w:shd w:val="clear" w:color="auto" w:fill="FFFFFF"/>
            <w:noWrap/>
            <w:vAlign w:val="center"/>
          </w:tcPr>
          <w:p w14:paraId="2242D96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6D7D1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tcBorders>
              <w:top w:val="nil"/>
              <w:left w:val="nil"/>
              <w:bottom w:val="single" w:color="D4D4D4" w:sz="4" w:space="0"/>
              <w:right w:val="single" w:color="D4D4D4" w:sz="4" w:space="0"/>
            </w:tcBorders>
            <w:shd w:val="clear" w:color="auto" w:fill="FFFFFF"/>
            <w:noWrap/>
            <w:vAlign w:val="center"/>
          </w:tcPr>
          <w:p w14:paraId="4A84629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信息系统建设</w:t>
            </w:r>
          </w:p>
        </w:tc>
        <w:tc>
          <w:tcPr>
            <w:tcW w:w="539" w:type="pct"/>
            <w:tcBorders>
              <w:top w:val="nil"/>
              <w:left w:val="nil"/>
              <w:bottom w:val="single" w:color="D4D4D4" w:sz="4" w:space="0"/>
              <w:right w:val="single" w:color="D4D4D4" w:sz="4" w:space="0"/>
            </w:tcBorders>
            <w:shd w:val="clear" w:color="auto" w:fill="FFFFFF"/>
            <w:noWrap/>
            <w:vAlign w:val="center"/>
          </w:tcPr>
          <w:p w14:paraId="42E6577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440.13</w:t>
            </w:r>
          </w:p>
        </w:tc>
        <w:tc>
          <w:tcPr>
            <w:tcW w:w="339" w:type="pct"/>
            <w:tcBorders>
              <w:top w:val="nil"/>
              <w:left w:val="nil"/>
              <w:bottom w:val="single" w:color="D4D4D4" w:sz="4" w:space="0"/>
              <w:right w:val="single" w:color="D4D4D4" w:sz="4" w:space="0"/>
            </w:tcBorders>
            <w:shd w:val="clear" w:color="auto" w:fill="FFFFFF"/>
            <w:noWrap/>
            <w:vAlign w:val="center"/>
          </w:tcPr>
          <w:p w14:paraId="0A426DA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0869DF6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62C1B06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440.13</w:t>
            </w:r>
          </w:p>
        </w:tc>
        <w:tc>
          <w:tcPr>
            <w:tcW w:w="340" w:type="pct"/>
            <w:tcBorders>
              <w:top w:val="nil"/>
              <w:left w:val="nil"/>
              <w:bottom w:val="single" w:color="D4D4D4" w:sz="4" w:space="0"/>
              <w:right w:val="single" w:color="D4D4D4" w:sz="4" w:space="0"/>
            </w:tcBorders>
            <w:shd w:val="clear" w:color="auto" w:fill="FFFFFF"/>
            <w:noWrap/>
            <w:vAlign w:val="center"/>
          </w:tcPr>
          <w:p w14:paraId="782AA82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42B8646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440.13</w:t>
            </w:r>
          </w:p>
        </w:tc>
        <w:tc>
          <w:tcPr>
            <w:tcW w:w="339" w:type="pct"/>
            <w:tcBorders>
              <w:top w:val="nil"/>
              <w:left w:val="nil"/>
              <w:bottom w:val="single" w:color="D4D4D4" w:sz="4" w:space="0"/>
              <w:right w:val="single" w:color="D4D4D4" w:sz="4" w:space="0"/>
            </w:tcBorders>
            <w:shd w:val="clear" w:color="auto" w:fill="FFFFFF"/>
            <w:noWrap/>
            <w:vAlign w:val="center"/>
          </w:tcPr>
          <w:p w14:paraId="0D1D745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440.13</w:t>
            </w:r>
          </w:p>
        </w:tc>
        <w:tc>
          <w:tcPr>
            <w:tcW w:w="339" w:type="pct"/>
            <w:tcBorders>
              <w:top w:val="nil"/>
              <w:left w:val="nil"/>
              <w:bottom w:val="single" w:color="D4D4D4" w:sz="4" w:space="0"/>
              <w:right w:val="single" w:color="D4D4D4" w:sz="4" w:space="0"/>
            </w:tcBorders>
            <w:shd w:val="clear" w:color="auto" w:fill="FFFFFF"/>
            <w:noWrap/>
            <w:vAlign w:val="center"/>
          </w:tcPr>
          <w:p w14:paraId="01FDB42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7C6BBA4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1EC15D2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62D6FAA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40" w:type="pct"/>
            <w:tcBorders>
              <w:top w:val="nil"/>
              <w:left w:val="nil"/>
              <w:bottom w:val="single" w:color="D4D4D4" w:sz="4" w:space="0"/>
              <w:right w:val="single" w:color="D4D4D4" w:sz="4" w:space="0"/>
            </w:tcBorders>
            <w:shd w:val="clear" w:color="auto" w:fill="FFFFFF"/>
            <w:noWrap/>
            <w:vAlign w:val="center"/>
          </w:tcPr>
          <w:p w14:paraId="5696498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4AA2F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tcBorders>
              <w:top w:val="nil"/>
              <w:left w:val="nil"/>
              <w:bottom w:val="single" w:color="D4D4D4" w:sz="4" w:space="0"/>
              <w:right w:val="single" w:color="D4D4D4" w:sz="4" w:space="0"/>
            </w:tcBorders>
            <w:shd w:val="clear" w:color="auto" w:fill="FFFFFF"/>
            <w:noWrap/>
            <w:vAlign w:val="center"/>
          </w:tcPr>
          <w:p w14:paraId="6FCE4CF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药品耗材管理专项</w:t>
            </w:r>
          </w:p>
        </w:tc>
        <w:tc>
          <w:tcPr>
            <w:tcW w:w="539" w:type="pct"/>
            <w:tcBorders>
              <w:top w:val="nil"/>
              <w:left w:val="nil"/>
              <w:bottom w:val="single" w:color="D4D4D4" w:sz="4" w:space="0"/>
              <w:right w:val="single" w:color="D4D4D4" w:sz="4" w:space="0"/>
            </w:tcBorders>
            <w:shd w:val="clear" w:color="auto" w:fill="FFFFFF"/>
            <w:noWrap/>
            <w:vAlign w:val="center"/>
          </w:tcPr>
          <w:p w14:paraId="716BB29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58.70</w:t>
            </w:r>
          </w:p>
        </w:tc>
        <w:tc>
          <w:tcPr>
            <w:tcW w:w="339" w:type="pct"/>
            <w:tcBorders>
              <w:top w:val="nil"/>
              <w:left w:val="nil"/>
              <w:bottom w:val="single" w:color="D4D4D4" w:sz="4" w:space="0"/>
              <w:right w:val="single" w:color="D4D4D4" w:sz="4" w:space="0"/>
            </w:tcBorders>
            <w:shd w:val="clear" w:color="auto" w:fill="FFFFFF"/>
            <w:noWrap/>
            <w:vAlign w:val="center"/>
          </w:tcPr>
          <w:p w14:paraId="6512111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12180ED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77AAB0B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58.70</w:t>
            </w:r>
          </w:p>
        </w:tc>
        <w:tc>
          <w:tcPr>
            <w:tcW w:w="340" w:type="pct"/>
            <w:tcBorders>
              <w:top w:val="nil"/>
              <w:left w:val="nil"/>
              <w:bottom w:val="single" w:color="D4D4D4" w:sz="4" w:space="0"/>
              <w:right w:val="single" w:color="D4D4D4" w:sz="4" w:space="0"/>
            </w:tcBorders>
            <w:shd w:val="clear" w:color="auto" w:fill="FFFFFF"/>
            <w:noWrap/>
            <w:vAlign w:val="center"/>
          </w:tcPr>
          <w:p w14:paraId="528EDCA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3AF4731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58.70</w:t>
            </w:r>
          </w:p>
        </w:tc>
        <w:tc>
          <w:tcPr>
            <w:tcW w:w="339" w:type="pct"/>
            <w:tcBorders>
              <w:top w:val="nil"/>
              <w:left w:val="nil"/>
              <w:bottom w:val="single" w:color="D4D4D4" w:sz="4" w:space="0"/>
              <w:right w:val="single" w:color="D4D4D4" w:sz="4" w:space="0"/>
            </w:tcBorders>
            <w:shd w:val="clear" w:color="auto" w:fill="FFFFFF"/>
            <w:noWrap/>
            <w:vAlign w:val="center"/>
          </w:tcPr>
          <w:p w14:paraId="5326744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58.70</w:t>
            </w:r>
          </w:p>
        </w:tc>
        <w:tc>
          <w:tcPr>
            <w:tcW w:w="339" w:type="pct"/>
            <w:tcBorders>
              <w:top w:val="nil"/>
              <w:left w:val="nil"/>
              <w:bottom w:val="single" w:color="D4D4D4" w:sz="4" w:space="0"/>
              <w:right w:val="single" w:color="D4D4D4" w:sz="4" w:space="0"/>
            </w:tcBorders>
            <w:shd w:val="clear" w:color="auto" w:fill="FFFFFF"/>
            <w:noWrap/>
            <w:vAlign w:val="center"/>
          </w:tcPr>
          <w:p w14:paraId="5B72108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2094CAB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75598C4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4017285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40" w:type="pct"/>
            <w:tcBorders>
              <w:top w:val="nil"/>
              <w:left w:val="nil"/>
              <w:bottom w:val="single" w:color="D4D4D4" w:sz="4" w:space="0"/>
              <w:right w:val="single" w:color="D4D4D4" w:sz="4" w:space="0"/>
            </w:tcBorders>
            <w:shd w:val="clear" w:color="auto" w:fill="FFFFFF"/>
            <w:noWrap/>
            <w:vAlign w:val="center"/>
          </w:tcPr>
          <w:p w14:paraId="4066D69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7B25B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tcBorders>
              <w:top w:val="nil"/>
              <w:left w:val="nil"/>
              <w:bottom w:val="single" w:color="D4D4D4" w:sz="4" w:space="0"/>
              <w:right w:val="single" w:color="D4D4D4" w:sz="4" w:space="0"/>
            </w:tcBorders>
            <w:shd w:val="clear" w:color="auto" w:fill="FFFFFF"/>
            <w:noWrap/>
            <w:vAlign w:val="center"/>
          </w:tcPr>
          <w:p w14:paraId="05A0DE8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医疗管理专项</w:t>
            </w:r>
          </w:p>
        </w:tc>
        <w:tc>
          <w:tcPr>
            <w:tcW w:w="539" w:type="pct"/>
            <w:tcBorders>
              <w:top w:val="nil"/>
              <w:left w:val="nil"/>
              <w:bottom w:val="single" w:color="D4D4D4" w:sz="4" w:space="0"/>
              <w:right w:val="single" w:color="D4D4D4" w:sz="4" w:space="0"/>
            </w:tcBorders>
            <w:shd w:val="clear" w:color="auto" w:fill="FFFFFF"/>
            <w:noWrap/>
            <w:vAlign w:val="center"/>
          </w:tcPr>
          <w:p w14:paraId="7EDE959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70.17</w:t>
            </w:r>
          </w:p>
        </w:tc>
        <w:tc>
          <w:tcPr>
            <w:tcW w:w="339" w:type="pct"/>
            <w:tcBorders>
              <w:top w:val="nil"/>
              <w:left w:val="nil"/>
              <w:bottom w:val="single" w:color="D4D4D4" w:sz="4" w:space="0"/>
              <w:right w:val="single" w:color="D4D4D4" w:sz="4" w:space="0"/>
            </w:tcBorders>
            <w:shd w:val="clear" w:color="auto" w:fill="FFFFFF"/>
            <w:noWrap/>
            <w:vAlign w:val="center"/>
          </w:tcPr>
          <w:p w14:paraId="6FC56DA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0.03</w:t>
            </w:r>
          </w:p>
        </w:tc>
        <w:tc>
          <w:tcPr>
            <w:tcW w:w="339" w:type="pct"/>
            <w:tcBorders>
              <w:top w:val="nil"/>
              <w:left w:val="nil"/>
              <w:bottom w:val="single" w:color="D4D4D4" w:sz="4" w:space="0"/>
              <w:right w:val="single" w:color="D4D4D4" w:sz="4" w:space="0"/>
            </w:tcBorders>
            <w:shd w:val="clear" w:color="auto" w:fill="FFFFFF"/>
            <w:noWrap/>
            <w:vAlign w:val="center"/>
          </w:tcPr>
          <w:p w14:paraId="641A636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226F8DF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70.14</w:t>
            </w:r>
          </w:p>
        </w:tc>
        <w:tc>
          <w:tcPr>
            <w:tcW w:w="340" w:type="pct"/>
            <w:tcBorders>
              <w:top w:val="nil"/>
              <w:left w:val="nil"/>
              <w:bottom w:val="single" w:color="D4D4D4" w:sz="4" w:space="0"/>
              <w:right w:val="single" w:color="D4D4D4" w:sz="4" w:space="0"/>
            </w:tcBorders>
            <w:shd w:val="clear" w:color="auto" w:fill="FFFFFF"/>
            <w:noWrap/>
            <w:vAlign w:val="center"/>
          </w:tcPr>
          <w:p w14:paraId="7451DB3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56BCF83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70.14</w:t>
            </w:r>
          </w:p>
        </w:tc>
        <w:tc>
          <w:tcPr>
            <w:tcW w:w="339" w:type="pct"/>
            <w:tcBorders>
              <w:top w:val="nil"/>
              <w:left w:val="nil"/>
              <w:bottom w:val="single" w:color="D4D4D4" w:sz="4" w:space="0"/>
              <w:right w:val="single" w:color="D4D4D4" w:sz="4" w:space="0"/>
            </w:tcBorders>
            <w:shd w:val="clear" w:color="auto" w:fill="FFFFFF"/>
            <w:noWrap/>
            <w:vAlign w:val="center"/>
          </w:tcPr>
          <w:p w14:paraId="01F3585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70.14</w:t>
            </w:r>
          </w:p>
        </w:tc>
        <w:tc>
          <w:tcPr>
            <w:tcW w:w="339" w:type="pct"/>
            <w:tcBorders>
              <w:top w:val="nil"/>
              <w:left w:val="nil"/>
              <w:bottom w:val="single" w:color="D4D4D4" w:sz="4" w:space="0"/>
              <w:right w:val="single" w:color="D4D4D4" w:sz="4" w:space="0"/>
            </w:tcBorders>
            <w:shd w:val="clear" w:color="auto" w:fill="FFFFFF"/>
            <w:noWrap/>
            <w:vAlign w:val="center"/>
          </w:tcPr>
          <w:p w14:paraId="7834F22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68026A1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0.03</w:t>
            </w:r>
          </w:p>
        </w:tc>
        <w:tc>
          <w:tcPr>
            <w:tcW w:w="339" w:type="pct"/>
            <w:tcBorders>
              <w:top w:val="nil"/>
              <w:left w:val="nil"/>
              <w:bottom w:val="single" w:color="D4D4D4" w:sz="4" w:space="0"/>
              <w:right w:val="single" w:color="D4D4D4" w:sz="4" w:space="0"/>
            </w:tcBorders>
            <w:shd w:val="clear" w:color="auto" w:fill="FFFFFF"/>
            <w:noWrap/>
            <w:vAlign w:val="center"/>
          </w:tcPr>
          <w:p w14:paraId="3C5171C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378C9AC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40" w:type="pct"/>
            <w:tcBorders>
              <w:top w:val="nil"/>
              <w:left w:val="nil"/>
              <w:bottom w:val="single" w:color="D4D4D4" w:sz="4" w:space="0"/>
              <w:right w:val="single" w:color="D4D4D4" w:sz="4" w:space="0"/>
            </w:tcBorders>
            <w:shd w:val="clear" w:color="auto" w:fill="FFFFFF"/>
            <w:noWrap/>
            <w:vAlign w:val="center"/>
          </w:tcPr>
          <w:p w14:paraId="58C3A89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58B1D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tcBorders>
              <w:top w:val="nil"/>
              <w:left w:val="nil"/>
              <w:bottom w:val="single" w:color="D4D4D4" w:sz="4" w:space="0"/>
              <w:right w:val="single" w:color="D4D4D4" w:sz="4" w:space="0"/>
            </w:tcBorders>
            <w:shd w:val="clear" w:color="auto" w:fill="FFFFFF"/>
            <w:noWrap/>
            <w:vAlign w:val="center"/>
          </w:tcPr>
          <w:p w14:paraId="4D3BEB6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应急保障</w:t>
            </w:r>
          </w:p>
        </w:tc>
        <w:tc>
          <w:tcPr>
            <w:tcW w:w="539" w:type="pct"/>
            <w:tcBorders>
              <w:top w:val="nil"/>
              <w:left w:val="nil"/>
              <w:bottom w:val="single" w:color="D4D4D4" w:sz="4" w:space="0"/>
              <w:right w:val="single" w:color="D4D4D4" w:sz="4" w:space="0"/>
            </w:tcBorders>
            <w:shd w:val="clear" w:color="auto" w:fill="FFFFFF"/>
            <w:noWrap/>
            <w:vAlign w:val="center"/>
          </w:tcPr>
          <w:p w14:paraId="604CFFB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0.60</w:t>
            </w:r>
          </w:p>
        </w:tc>
        <w:tc>
          <w:tcPr>
            <w:tcW w:w="339" w:type="pct"/>
            <w:tcBorders>
              <w:top w:val="nil"/>
              <w:left w:val="nil"/>
              <w:bottom w:val="single" w:color="D4D4D4" w:sz="4" w:space="0"/>
              <w:right w:val="single" w:color="D4D4D4" w:sz="4" w:space="0"/>
            </w:tcBorders>
            <w:shd w:val="clear" w:color="auto" w:fill="FFFFFF"/>
            <w:noWrap/>
            <w:vAlign w:val="center"/>
          </w:tcPr>
          <w:p w14:paraId="24DAD6B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0.60</w:t>
            </w:r>
          </w:p>
        </w:tc>
        <w:tc>
          <w:tcPr>
            <w:tcW w:w="339" w:type="pct"/>
            <w:tcBorders>
              <w:top w:val="nil"/>
              <w:left w:val="nil"/>
              <w:bottom w:val="single" w:color="D4D4D4" w:sz="4" w:space="0"/>
              <w:right w:val="single" w:color="D4D4D4" w:sz="4" w:space="0"/>
            </w:tcBorders>
            <w:shd w:val="clear" w:color="auto" w:fill="FFFFFF"/>
            <w:noWrap/>
            <w:vAlign w:val="center"/>
          </w:tcPr>
          <w:p w14:paraId="19FDFCD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67EF2E8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40" w:type="pct"/>
            <w:tcBorders>
              <w:top w:val="nil"/>
              <w:left w:val="nil"/>
              <w:bottom w:val="single" w:color="D4D4D4" w:sz="4" w:space="0"/>
              <w:right w:val="single" w:color="D4D4D4" w:sz="4" w:space="0"/>
            </w:tcBorders>
            <w:shd w:val="clear" w:color="auto" w:fill="FFFFFF"/>
            <w:noWrap/>
            <w:vAlign w:val="center"/>
          </w:tcPr>
          <w:p w14:paraId="4DB2572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08A2395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59D6A07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25BF743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63B2AD1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0.60</w:t>
            </w:r>
          </w:p>
        </w:tc>
        <w:tc>
          <w:tcPr>
            <w:tcW w:w="339" w:type="pct"/>
            <w:tcBorders>
              <w:top w:val="nil"/>
              <w:left w:val="nil"/>
              <w:bottom w:val="single" w:color="D4D4D4" w:sz="4" w:space="0"/>
              <w:right w:val="single" w:color="D4D4D4" w:sz="4" w:space="0"/>
            </w:tcBorders>
            <w:shd w:val="clear" w:color="auto" w:fill="FFFFFF"/>
            <w:noWrap/>
            <w:vAlign w:val="center"/>
          </w:tcPr>
          <w:p w14:paraId="24246B5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3B025F4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40" w:type="pct"/>
            <w:tcBorders>
              <w:top w:val="nil"/>
              <w:left w:val="nil"/>
              <w:bottom w:val="single" w:color="D4D4D4" w:sz="4" w:space="0"/>
              <w:right w:val="single" w:color="D4D4D4" w:sz="4" w:space="0"/>
            </w:tcBorders>
            <w:shd w:val="clear" w:color="auto" w:fill="FFFFFF"/>
            <w:noWrap/>
            <w:vAlign w:val="center"/>
          </w:tcPr>
          <w:p w14:paraId="0344D75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6F4E8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tcBorders>
              <w:top w:val="nil"/>
              <w:left w:val="nil"/>
              <w:bottom w:val="single" w:color="D4D4D4" w:sz="4" w:space="0"/>
              <w:right w:val="single" w:color="D4D4D4" w:sz="4" w:space="0"/>
            </w:tcBorders>
            <w:shd w:val="clear" w:color="auto" w:fill="FFFFFF"/>
            <w:noWrap/>
            <w:vAlign w:val="center"/>
          </w:tcPr>
          <w:p w14:paraId="1505DFD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应急救援专项</w:t>
            </w:r>
          </w:p>
        </w:tc>
        <w:tc>
          <w:tcPr>
            <w:tcW w:w="539" w:type="pct"/>
            <w:tcBorders>
              <w:top w:val="nil"/>
              <w:left w:val="nil"/>
              <w:bottom w:val="single" w:color="D4D4D4" w:sz="4" w:space="0"/>
              <w:right w:val="single" w:color="D4D4D4" w:sz="4" w:space="0"/>
            </w:tcBorders>
            <w:shd w:val="clear" w:color="auto" w:fill="FFFFFF"/>
            <w:noWrap/>
            <w:vAlign w:val="center"/>
          </w:tcPr>
          <w:p w14:paraId="2674557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116.46</w:t>
            </w:r>
          </w:p>
        </w:tc>
        <w:tc>
          <w:tcPr>
            <w:tcW w:w="339" w:type="pct"/>
            <w:tcBorders>
              <w:top w:val="nil"/>
              <w:left w:val="nil"/>
              <w:bottom w:val="single" w:color="D4D4D4" w:sz="4" w:space="0"/>
              <w:right w:val="single" w:color="D4D4D4" w:sz="4" w:space="0"/>
            </w:tcBorders>
            <w:shd w:val="clear" w:color="auto" w:fill="FFFFFF"/>
            <w:noWrap/>
            <w:vAlign w:val="center"/>
          </w:tcPr>
          <w:p w14:paraId="222601F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4C10840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305A1F8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116.46</w:t>
            </w:r>
          </w:p>
        </w:tc>
        <w:tc>
          <w:tcPr>
            <w:tcW w:w="340" w:type="pct"/>
            <w:tcBorders>
              <w:top w:val="nil"/>
              <w:left w:val="nil"/>
              <w:bottom w:val="single" w:color="D4D4D4" w:sz="4" w:space="0"/>
              <w:right w:val="single" w:color="D4D4D4" w:sz="4" w:space="0"/>
            </w:tcBorders>
            <w:shd w:val="clear" w:color="auto" w:fill="FFFFFF"/>
            <w:noWrap/>
            <w:vAlign w:val="center"/>
          </w:tcPr>
          <w:p w14:paraId="36CDC48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7440F7B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116.46</w:t>
            </w:r>
          </w:p>
        </w:tc>
        <w:tc>
          <w:tcPr>
            <w:tcW w:w="339" w:type="pct"/>
            <w:tcBorders>
              <w:top w:val="nil"/>
              <w:left w:val="nil"/>
              <w:bottom w:val="single" w:color="D4D4D4" w:sz="4" w:space="0"/>
              <w:right w:val="single" w:color="D4D4D4" w:sz="4" w:space="0"/>
            </w:tcBorders>
            <w:shd w:val="clear" w:color="auto" w:fill="FFFFFF"/>
            <w:noWrap/>
            <w:vAlign w:val="center"/>
          </w:tcPr>
          <w:p w14:paraId="2C6254F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116.46</w:t>
            </w:r>
          </w:p>
        </w:tc>
        <w:tc>
          <w:tcPr>
            <w:tcW w:w="339" w:type="pct"/>
            <w:tcBorders>
              <w:top w:val="nil"/>
              <w:left w:val="nil"/>
              <w:bottom w:val="single" w:color="D4D4D4" w:sz="4" w:space="0"/>
              <w:right w:val="single" w:color="D4D4D4" w:sz="4" w:space="0"/>
            </w:tcBorders>
            <w:shd w:val="clear" w:color="auto" w:fill="FFFFFF"/>
            <w:noWrap/>
            <w:vAlign w:val="center"/>
          </w:tcPr>
          <w:p w14:paraId="7A39DAA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28DF3FA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3A90C71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75DD393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40" w:type="pct"/>
            <w:tcBorders>
              <w:top w:val="nil"/>
              <w:left w:val="nil"/>
              <w:bottom w:val="single" w:color="D4D4D4" w:sz="4" w:space="0"/>
              <w:right w:val="single" w:color="D4D4D4" w:sz="4" w:space="0"/>
            </w:tcBorders>
            <w:shd w:val="clear" w:color="auto" w:fill="FFFFFF"/>
            <w:noWrap/>
            <w:vAlign w:val="center"/>
          </w:tcPr>
          <w:p w14:paraId="27246CC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2068C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tcBorders>
              <w:top w:val="nil"/>
              <w:left w:val="nil"/>
              <w:bottom w:val="single" w:color="D4D4D4" w:sz="4" w:space="0"/>
              <w:right w:val="single" w:color="D4D4D4" w:sz="4" w:space="0"/>
            </w:tcBorders>
            <w:shd w:val="clear" w:color="auto" w:fill="FFFFFF"/>
            <w:noWrap/>
            <w:vAlign w:val="center"/>
          </w:tcPr>
          <w:p w14:paraId="3332D9F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政务信息化</w:t>
            </w:r>
          </w:p>
        </w:tc>
        <w:tc>
          <w:tcPr>
            <w:tcW w:w="539" w:type="pct"/>
            <w:tcBorders>
              <w:top w:val="nil"/>
              <w:left w:val="nil"/>
              <w:bottom w:val="single" w:color="D4D4D4" w:sz="4" w:space="0"/>
              <w:right w:val="single" w:color="D4D4D4" w:sz="4" w:space="0"/>
            </w:tcBorders>
            <w:shd w:val="clear" w:color="auto" w:fill="FFFFFF"/>
            <w:noWrap/>
            <w:vAlign w:val="center"/>
          </w:tcPr>
          <w:p w14:paraId="40DD187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80.00</w:t>
            </w:r>
          </w:p>
        </w:tc>
        <w:tc>
          <w:tcPr>
            <w:tcW w:w="339" w:type="pct"/>
            <w:tcBorders>
              <w:top w:val="nil"/>
              <w:left w:val="nil"/>
              <w:bottom w:val="single" w:color="D4D4D4" w:sz="4" w:space="0"/>
              <w:right w:val="single" w:color="D4D4D4" w:sz="4" w:space="0"/>
            </w:tcBorders>
            <w:shd w:val="clear" w:color="auto" w:fill="FFFFFF"/>
            <w:noWrap/>
            <w:vAlign w:val="center"/>
          </w:tcPr>
          <w:p w14:paraId="04E30FD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158F08A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29EC7B0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80.00</w:t>
            </w:r>
          </w:p>
        </w:tc>
        <w:tc>
          <w:tcPr>
            <w:tcW w:w="340" w:type="pct"/>
            <w:tcBorders>
              <w:top w:val="nil"/>
              <w:left w:val="nil"/>
              <w:bottom w:val="single" w:color="D4D4D4" w:sz="4" w:space="0"/>
              <w:right w:val="single" w:color="D4D4D4" w:sz="4" w:space="0"/>
            </w:tcBorders>
            <w:shd w:val="clear" w:color="auto" w:fill="FFFFFF"/>
            <w:noWrap/>
            <w:vAlign w:val="center"/>
          </w:tcPr>
          <w:p w14:paraId="2FC89EA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772CF5D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80.00</w:t>
            </w:r>
          </w:p>
        </w:tc>
        <w:tc>
          <w:tcPr>
            <w:tcW w:w="339" w:type="pct"/>
            <w:tcBorders>
              <w:top w:val="nil"/>
              <w:left w:val="nil"/>
              <w:bottom w:val="single" w:color="D4D4D4" w:sz="4" w:space="0"/>
              <w:right w:val="single" w:color="D4D4D4" w:sz="4" w:space="0"/>
            </w:tcBorders>
            <w:shd w:val="clear" w:color="auto" w:fill="FFFFFF"/>
            <w:noWrap/>
            <w:vAlign w:val="center"/>
          </w:tcPr>
          <w:p w14:paraId="5D38309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80.00</w:t>
            </w:r>
          </w:p>
        </w:tc>
        <w:tc>
          <w:tcPr>
            <w:tcW w:w="339" w:type="pct"/>
            <w:tcBorders>
              <w:top w:val="nil"/>
              <w:left w:val="nil"/>
              <w:bottom w:val="single" w:color="D4D4D4" w:sz="4" w:space="0"/>
              <w:right w:val="single" w:color="D4D4D4" w:sz="4" w:space="0"/>
            </w:tcBorders>
            <w:shd w:val="clear" w:color="auto" w:fill="FFFFFF"/>
            <w:noWrap/>
            <w:vAlign w:val="center"/>
          </w:tcPr>
          <w:p w14:paraId="00EB67F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0AAE8A8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151308C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7A30747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40" w:type="pct"/>
            <w:tcBorders>
              <w:top w:val="nil"/>
              <w:left w:val="nil"/>
              <w:bottom w:val="single" w:color="D4D4D4" w:sz="4" w:space="0"/>
              <w:right w:val="single" w:color="D4D4D4" w:sz="4" w:space="0"/>
            </w:tcBorders>
            <w:shd w:val="clear" w:color="auto" w:fill="FFFFFF"/>
            <w:noWrap/>
            <w:vAlign w:val="center"/>
          </w:tcPr>
          <w:p w14:paraId="67EAED5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3C0C4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tcBorders>
              <w:top w:val="nil"/>
              <w:left w:val="nil"/>
              <w:bottom w:val="single" w:color="D4D4D4" w:sz="4" w:space="0"/>
              <w:right w:val="single" w:color="D4D4D4" w:sz="4" w:space="0"/>
            </w:tcBorders>
            <w:shd w:val="clear" w:color="auto" w:fill="FFFFFF"/>
            <w:noWrap/>
            <w:vAlign w:val="center"/>
          </w:tcPr>
          <w:p w14:paraId="060B650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职业健康专项</w:t>
            </w:r>
          </w:p>
        </w:tc>
        <w:tc>
          <w:tcPr>
            <w:tcW w:w="539" w:type="pct"/>
            <w:tcBorders>
              <w:top w:val="nil"/>
              <w:left w:val="nil"/>
              <w:bottom w:val="single" w:color="D4D4D4" w:sz="4" w:space="0"/>
              <w:right w:val="single" w:color="D4D4D4" w:sz="4" w:space="0"/>
            </w:tcBorders>
            <w:shd w:val="clear" w:color="auto" w:fill="FFFFFF"/>
            <w:noWrap/>
            <w:vAlign w:val="center"/>
          </w:tcPr>
          <w:p w14:paraId="2FF2F00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85.44</w:t>
            </w:r>
          </w:p>
        </w:tc>
        <w:tc>
          <w:tcPr>
            <w:tcW w:w="339" w:type="pct"/>
            <w:tcBorders>
              <w:top w:val="nil"/>
              <w:left w:val="nil"/>
              <w:bottom w:val="single" w:color="D4D4D4" w:sz="4" w:space="0"/>
              <w:right w:val="single" w:color="D4D4D4" w:sz="4" w:space="0"/>
            </w:tcBorders>
            <w:shd w:val="clear" w:color="auto" w:fill="FFFFFF"/>
            <w:noWrap/>
            <w:vAlign w:val="center"/>
          </w:tcPr>
          <w:p w14:paraId="5FF04B0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015DB5F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790BDA7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85.44</w:t>
            </w:r>
          </w:p>
        </w:tc>
        <w:tc>
          <w:tcPr>
            <w:tcW w:w="340" w:type="pct"/>
            <w:tcBorders>
              <w:top w:val="nil"/>
              <w:left w:val="nil"/>
              <w:bottom w:val="single" w:color="D4D4D4" w:sz="4" w:space="0"/>
              <w:right w:val="single" w:color="D4D4D4" w:sz="4" w:space="0"/>
            </w:tcBorders>
            <w:shd w:val="clear" w:color="auto" w:fill="FFFFFF"/>
            <w:noWrap/>
            <w:vAlign w:val="center"/>
          </w:tcPr>
          <w:p w14:paraId="3A21953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59968E1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85.44</w:t>
            </w:r>
          </w:p>
        </w:tc>
        <w:tc>
          <w:tcPr>
            <w:tcW w:w="339" w:type="pct"/>
            <w:tcBorders>
              <w:top w:val="nil"/>
              <w:left w:val="nil"/>
              <w:bottom w:val="single" w:color="D4D4D4" w:sz="4" w:space="0"/>
              <w:right w:val="single" w:color="D4D4D4" w:sz="4" w:space="0"/>
            </w:tcBorders>
            <w:shd w:val="clear" w:color="auto" w:fill="FFFFFF"/>
            <w:noWrap/>
            <w:vAlign w:val="center"/>
          </w:tcPr>
          <w:p w14:paraId="2C9FAA4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85.44</w:t>
            </w:r>
          </w:p>
        </w:tc>
        <w:tc>
          <w:tcPr>
            <w:tcW w:w="339" w:type="pct"/>
            <w:tcBorders>
              <w:top w:val="nil"/>
              <w:left w:val="nil"/>
              <w:bottom w:val="single" w:color="D4D4D4" w:sz="4" w:space="0"/>
              <w:right w:val="single" w:color="D4D4D4" w:sz="4" w:space="0"/>
            </w:tcBorders>
            <w:shd w:val="clear" w:color="auto" w:fill="FFFFFF"/>
            <w:noWrap/>
            <w:vAlign w:val="center"/>
          </w:tcPr>
          <w:p w14:paraId="30BE2AB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25C86BD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6456DB3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3DBA955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40" w:type="pct"/>
            <w:tcBorders>
              <w:top w:val="nil"/>
              <w:left w:val="nil"/>
              <w:bottom w:val="single" w:color="D4D4D4" w:sz="4" w:space="0"/>
              <w:right w:val="single" w:color="D4D4D4" w:sz="4" w:space="0"/>
            </w:tcBorders>
            <w:shd w:val="clear" w:color="auto" w:fill="FFFFFF"/>
            <w:noWrap/>
            <w:vAlign w:val="center"/>
          </w:tcPr>
          <w:p w14:paraId="25E1FF8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14:paraId="7C3AC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tcBorders>
              <w:top w:val="nil"/>
              <w:left w:val="nil"/>
              <w:bottom w:val="single" w:color="D4D4D4" w:sz="4" w:space="0"/>
              <w:right w:val="single" w:color="D4D4D4" w:sz="4" w:space="0"/>
            </w:tcBorders>
            <w:shd w:val="clear" w:color="auto" w:fill="FFFFFF"/>
            <w:noWrap/>
            <w:vAlign w:val="center"/>
          </w:tcPr>
          <w:p w14:paraId="1286C50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资产配置专项</w:t>
            </w:r>
          </w:p>
        </w:tc>
        <w:tc>
          <w:tcPr>
            <w:tcW w:w="539" w:type="pct"/>
            <w:tcBorders>
              <w:top w:val="nil"/>
              <w:left w:val="nil"/>
              <w:bottom w:val="single" w:color="D4D4D4" w:sz="4" w:space="0"/>
              <w:right w:val="single" w:color="D4D4D4" w:sz="4" w:space="0"/>
            </w:tcBorders>
            <w:shd w:val="clear" w:color="auto" w:fill="FFFFFF"/>
            <w:noWrap/>
            <w:vAlign w:val="center"/>
          </w:tcPr>
          <w:p w14:paraId="7C43220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12.39</w:t>
            </w:r>
          </w:p>
        </w:tc>
        <w:tc>
          <w:tcPr>
            <w:tcW w:w="339" w:type="pct"/>
            <w:tcBorders>
              <w:top w:val="nil"/>
              <w:left w:val="nil"/>
              <w:bottom w:val="single" w:color="D4D4D4" w:sz="4" w:space="0"/>
              <w:right w:val="single" w:color="D4D4D4" w:sz="4" w:space="0"/>
            </w:tcBorders>
            <w:shd w:val="clear" w:color="auto" w:fill="FFFFFF"/>
            <w:noWrap/>
            <w:vAlign w:val="center"/>
          </w:tcPr>
          <w:p w14:paraId="5C99E73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3F98FF0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582E328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12.39</w:t>
            </w:r>
          </w:p>
        </w:tc>
        <w:tc>
          <w:tcPr>
            <w:tcW w:w="340" w:type="pct"/>
            <w:tcBorders>
              <w:top w:val="nil"/>
              <w:left w:val="nil"/>
              <w:bottom w:val="single" w:color="D4D4D4" w:sz="4" w:space="0"/>
              <w:right w:val="single" w:color="D4D4D4" w:sz="4" w:space="0"/>
            </w:tcBorders>
            <w:shd w:val="clear" w:color="auto" w:fill="FFFFFF"/>
            <w:noWrap/>
            <w:vAlign w:val="center"/>
          </w:tcPr>
          <w:p w14:paraId="42FF695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45D5491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12.39</w:t>
            </w:r>
          </w:p>
        </w:tc>
        <w:tc>
          <w:tcPr>
            <w:tcW w:w="339" w:type="pct"/>
            <w:tcBorders>
              <w:top w:val="nil"/>
              <w:left w:val="nil"/>
              <w:bottom w:val="single" w:color="D4D4D4" w:sz="4" w:space="0"/>
              <w:right w:val="single" w:color="D4D4D4" w:sz="4" w:space="0"/>
            </w:tcBorders>
            <w:shd w:val="clear" w:color="auto" w:fill="FFFFFF"/>
            <w:noWrap/>
            <w:vAlign w:val="center"/>
          </w:tcPr>
          <w:p w14:paraId="7C55EE9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12.39</w:t>
            </w:r>
          </w:p>
        </w:tc>
        <w:tc>
          <w:tcPr>
            <w:tcW w:w="339" w:type="pct"/>
            <w:tcBorders>
              <w:top w:val="nil"/>
              <w:left w:val="nil"/>
              <w:bottom w:val="single" w:color="D4D4D4" w:sz="4" w:space="0"/>
              <w:right w:val="single" w:color="D4D4D4" w:sz="4" w:space="0"/>
            </w:tcBorders>
            <w:shd w:val="clear" w:color="auto" w:fill="FFFFFF"/>
            <w:noWrap/>
            <w:vAlign w:val="center"/>
          </w:tcPr>
          <w:p w14:paraId="003A263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3B63741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75EBE34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39" w:type="pct"/>
            <w:tcBorders>
              <w:top w:val="nil"/>
              <w:left w:val="nil"/>
              <w:bottom w:val="single" w:color="D4D4D4" w:sz="4" w:space="0"/>
              <w:right w:val="single" w:color="D4D4D4" w:sz="4" w:space="0"/>
            </w:tcBorders>
            <w:shd w:val="clear" w:color="auto" w:fill="FFFFFF"/>
            <w:noWrap/>
            <w:vAlign w:val="center"/>
          </w:tcPr>
          <w:p w14:paraId="5A6FB38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340" w:type="pct"/>
            <w:tcBorders>
              <w:top w:val="nil"/>
              <w:left w:val="nil"/>
              <w:bottom w:val="single" w:color="D4D4D4" w:sz="4" w:space="0"/>
              <w:right w:val="single" w:color="D4D4D4" w:sz="4" w:space="0"/>
            </w:tcBorders>
            <w:shd w:val="clear" w:color="auto" w:fill="FFFFFF"/>
            <w:noWrap/>
            <w:vAlign w:val="center"/>
          </w:tcPr>
          <w:p w14:paraId="7C31113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bl>
    <w:p w14:paraId="53BE1E3C">
      <w:pPr>
        <w:widowControl w:val="0"/>
        <w:overflowPunct/>
        <w:spacing w:line="600" w:lineRule="exact"/>
        <w:ind w:firstLine="640" w:firstLineChars="200"/>
        <w:jc w:val="left"/>
        <w:textAlignment w:val="auto"/>
        <w:rPr>
          <w:rFonts w:ascii="仿宋_GB2312" w:eastAsia="仿宋_GB2312"/>
          <w:sz w:val="32"/>
          <w:szCs w:val="32"/>
        </w:rPr>
      </w:pPr>
    </w:p>
    <w:p w14:paraId="360CC011">
      <w:pPr>
        <w:pStyle w:val="8"/>
        <w:sectPr>
          <w:pgSz w:w="16838" w:h="11906" w:orient="landscape"/>
          <w:pgMar w:top="1800" w:right="1440" w:bottom="1800" w:left="1440" w:header="851" w:footer="992" w:gutter="0"/>
          <w:cols w:space="425" w:num="1"/>
          <w:docGrid w:type="lines" w:linePitch="312" w:charSpace="0"/>
        </w:sectPr>
      </w:pPr>
    </w:p>
    <w:p w14:paraId="41306C28">
      <w:pPr>
        <w:pStyle w:val="3"/>
        <w:spacing w:before="0" w:after="0" w:line="600" w:lineRule="exact"/>
        <w:ind w:firstLine="640" w:firstLineChars="200"/>
        <w:rPr>
          <w:rFonts w:ascii="楷体" w:hAnsi="楷体" w:eastAsia="楷体"/>
          <w:b w:val="0"/>
        </w:rPr>
      </w:pPr>
      <w:r>
        <w:rPr>
          <w:rFonts w:hint="eastAsia" w:ascii="楷体" w:hAnsi="楷体" w:eastAsia="楷体"/>
          <w:b w:val="0"/>
        </w:rPr>
        <w:t>（三）部门绩效目标</w:t>
      </w:r>
    </w:p>
    <w:p w14:paraId="404B3C89">
      <w:pPr>
        <w:spacing w:line="600" w:lineRule="exact"/>
        <w:ind w:firstLine="640" w:firstLineChars="200"/>
        <w:rPr>
          <w:rFonts w:ascii="仿宋_GB2312" w:eastAsia="仿宋_GB2312"/>
          <w:sz w:val="32"/>
          <w:szCs w:val="32"/>
        </w:rPr>
      </w:pPr>
      <w:r>
        <w:rPr>
          <w:rFonts w:hint="eastAsia" w:ascii="仿宋_GB2312" w:eastAsia="仿宋_GB2312"/>
          <w:sz w:val="32"/>
          <w:szCs w:val="32"/>
        </w:rPr>
        <w:t>1.部门中长期目标</w:t>
      </w:r>
    </w:p>
    <w:p w14:paraId="1E3FB5BE">
      <w:pPr>
        <w:spacing w:line="600" w:lineRule="exact"/>
        <w:ind w:firstLine="640" w:firstLineChars="200"/>
        <w:rPr>
          <w:rFonts w:ascii="仿宋_GB2312" w:eastAsia="仿宋_GB2312"/>
          <w:sz w:val="32"/>
          <w:szCs w:val="32"/>
        </w:rPr>
      </w:pPr>
      <w:r>
        <w:rPr>
          <w:rFonts w:ascii="仿宋_GB2312" w:eastAsia="仿宋_GB2312"/>
          <w:sz w:val="32"/>
          <w:szCs w:val="32"/>
        </w:rPr>
        <w:t>健康融入所有政策的现代社会治理模式初步形成，覆盖城乡居民的基本医疗卫生制度全面建立。内涵丰富、结构合理的现代医疗、公共卫生、健康管理与促进、健康保障、健康服务产业五大体系健全完善。健康环境明显改善，健康生活方式进一步普及，人人享有较高水平的基本医疗卫生服务和基本体育健身服务，城乡居民健康水平进一步提高。到 2030 年，健康优先的政策体系和制度设计更加完善，健康领域整体协调发展。城市空间布局更加合理、资源利用更加集约、产业形态与自然生态更加和谐、市民宜业与宜居环境更加协调，健康服务、健康保障、健康产业发展的社会环境更加优化，健康生活方式更加普及，智能化高科技对健康生活方式的支撑作用更加突显，城乡居民主要健康指标达到国际先进水平。</w:t>
      </w:r>
    </w:p>
    <w:p w14:paraId="4789A598">
      <w:pPr>
        <w:spacing w:line="600" w:lineRule="exact"/>
        <w:ind w:firstLine="640" w:firstLineChars="200"/>
        <w:rPr>
          <w:rFonts w:ascii="仿宋_GB2312" w:eastAsia="仿宋_GB2312"/>
          <w:sz w:val="32"/>
          <w:szCs w:val="32"/>
        </w:rPr>
      </w:pPr>
      <w:r>
        <w:rPr>
          <w:rFonts w:hint="eastAsia" w:ascii="仿宋_GB2312" w:eastAsia="仿宋_GB2312"/>
          <w:sz w:val="32"/>
          <w:szCs w:val="32"/>
        </w:rPr>
        <w:t>2.年度目标</w:t>
      </w:r>
    </w:p>
    <w:p w14:paraId="255DFB32">
      <w:pPr>
        <w:spacing w:line="600" w:lineRule="exact"/>
        <w:ind w:firstLine="640" w:firstLineChars="200"/>
        <w:rPr>
          <w:rFonts w:ascii="仿宋_GB2312" w:eastAsia="仿宋_GB2312"/>
          <w:sz w:val="32"/>
          <w:szCs w:val="32"/>
        </w:rPr>
      </w:pPr>
      <w:r>
        <w:rPr>
          <w:rFonts w:hint="eastAsia" w:ascii="仿宋_GB2312" w:eastAsia="仿宋_GB2312"/>
          <w:sz w:val="32"/>
          <w:szCs w:val="32"/>
        </w:rPr>
        <w:t>市卫健委</w:t>
      </w:r>
      <w:r>
        <w:rPr>
          <w:rFonts w:hint="eastAsia" w:ascii="仿宋_GB2312" w:eastAsia="仿宋_GB2312"/>
          <w:sz w:val="32"/>
          <w:szCs w:val="32"/>
          <w:lang w:eastAsia="zh-CN"/>
        </w:rPr>
        <w:t>2023</w:t>
      </w:r>
      <w:r>
        <w:rPr>
          <w:rFonts w:hint="eastAsia" w:ascii="仿宋_GB2312" w:eastAsia="仿宋_GB2312"/>
          <w:sz w:val="32"/>
          <w:szCs w:val="32"/>
        </w:rPr>
        <w:t>年度绩效目标包括以下内容：</w:t>
      </w:r>
    </w:p>
    <w:p w14:paraId="7FE6DA4F">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（1）毫不放松抓好</w:t>
      </w:r>
      <w:r>
        <w:rPr>
          <w:rFonts w:hint="eastAsia" w:ascii="仿宋_GB2312" w:eastAsia="仿宋_GB2312"/>
          <w:sz w:val="32"/>
          <w:szCs w:val="32"/>
          <w:lang w:eastAsia="zh-CN"/>
        </w:rPr>
        <w:t>新阶段</w:t>
      </w:r>
      <w:r>
        <w:rPr>
          <w:rFonts w:hint="eastAsia" w:ascii="仿宋_GB2312" w:eastAsia="仿宋_GB2312"/>
          <w:sz w:val="32"/>
          <w:szCs w:val="32"/>
        </w:rPr>
        <w:t>常态化疫情防控；</w:t>
      </w:r>
    </w:p>
    <w:p w14:paraId="6FB9EB62">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大力</w:t>
      </w:r>
      <w:r>
        <w:rPr>
          <w:rFonts w:hint="eastAsia" w:ascii="仿宋_GB2312" w:eastAsia="仿宋_GB2312"/>
          <w:sz w:val="32"/>
          <w:szCs w:val="32"/>
        </w:rPr>
        <w:t>推进健康南京建设；</w:t>
      </w:r>
    </w:p>
    <w:p w14:paraId="728F8AB0">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持续</w:t>
      </w:r>
      <w:r>
        <w:rPr>
          <w:rFonts w:hint="eastAsia" w:ascii="仿宋_GB2312" w:eastAsia="仿宋_GB2312"/>
          <w:sz w:val="32"/>
          <w:szCs w:val="32"/>
        </w:rPr>
        <w:t>深化医药卫生体制改革；</w:t>
      </w:r>
    </w:p>
    <w:p w14:paraId="4BECB20B">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eastAsia="zh-CN"/>
        </w:rPr>
        <w:t>不断</w:t>
      </w:r>
      <w:r>
        <w:rPr>
          <w:rFonts w:hint="eastAsia" w:ascii="仿宋_GB2312" w:eastAsia="仿宋_GB2312"/>
          <w:sz w:val="32"/>
          <w:szCs w:val="32"/>
        </w:rPr>
        <w:t>加强公共卫生体系建设；</w:t>
      </w:r>
    </w:p>
    <w:p w14:paraId="0C87A9A5">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eastAsia="zh-CN"/>
        </w:rPr>
        <w:t>全面</w:t>
      </w:r>
      <w:r>
        <w:rPr>
          <w:rFonts w:hint="eastAsia" w:ascii="仿宋_GB2312" w:eastAsia="仿宋_GB2312"/>
          <w:sz w:val="32"/>
          <w:szCs w:val="32"/>
        </w:rPr>
        <w:t>构建优质高效的医疗卫生服务体系；</w:t>
      </w:r>
    </w:p>
    <w:p w14:paraId="2B366244">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（6）</w:t>
      </w:r>
      <w:r>
        <w:rPr>
          <w:rFonts w:hint="eastAsia" w:ascii="仿宋_GB2312" w:eastAsia="仿宋_GB2312"/>
          <w:sz w:val="32"/>
          <w:szCs w:val="32"/>
          <w:lang w:eastAsia="zh-CN"/>
        </w:rPr>
        <w:t>稳步</w:t>
      </w:r>
      <w:r>
        <w:rPr>
          <w:rFonts w:hint="eastAsia" w:ascii="仿宋_GB2312" w:eastAsia="仿宋_GB2312"/>
          <w:sz w:val="32"/>
          <w:szCs w:val="32"/>
        </w:rPr>
        <w:t>提升重点人群健康保障质量</w:t>
      </w:r>
      <w:r>
        <w:rPr>
          <w:rFonts w:hint="eastAsia" w:ascii="仿宋_GB2312" w:eastAsia="仿宋_GB2312"/>
          <w:sz w:val="32"/>
          <w:szCs w:val="32"/>
          <w:lang w:eastAsia="zh-CN"/>
        </w:rPr>
        <w:t>；</w:t>
      </w:r>
    </w:p>
    <w:p w14:paraId="5A0C47C9">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7</w:t>
      </w:r>
      <w:r>
        <w:rPr>
          <w:rFonts w:hint="eastAsia" w:ascii="仿宋_GB2312" w:eastAsia="仿宋_GB2312"/>
          <w:sz w:val="32"/>
          <w:szCs w:val="32"/>
          <w:lang w:eastAsia="zh-CN"/>
        </w:rPr>
        <w:t>）有效提升</w:t>
      </w:r>
      <w:r>
        <w:rPr>
          <w:rFonts w:hint="eastAsia" w:ascii="仿宋_GB2312" w:eastAsia="仿宋_GB2312"/>
          <w:sz w:val="32"/>
          <w:szCs w:val="32"/>
        </w:rPr>
        <w:t>科教创新和人才队伍建设</w:t>
      </w:r>
      <w:r>
        <w:rPr>
          <w:rFonts w:hint="eastAsia" w:ascii="仿宋_GB2312" w:eastAsia="仿宋_GB2312"/>
          <w:sz w:val="32"/>
          <w:szCs w:val="32"/>
          <w:lang w:eastAsia="zh-CN"/>
        </w:rPr>
        <w:t>；</w:t>
      </w:r>
    </w:p>
    <w:p w14:paraId="3F367C9A">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8</w:t>
      </w:r>
      <w:r>
        <w:rPr>
          <w:rFonts w:hint="eastAsia" w:ascii="仿宋_GB2312" w:eastAsia="仿宋_GB2312"/>
          <w:sz w:val="32"/>
          <w:szCs w:val="32"/>
          <w:lang w:eastAsia="zh-CN"/>
        </w:rPr>
        <w:t>）深入开展</w:t>
      </w:r>
      <w:r>
        <w:rPr>
          <w:rFonts w:hint="eastAsia" w:ascii="仿宋_GB2312" w:eastAsia="仿宋_GB2312"/>
          <w:sz w:val="32"/>
          <w:szCs w:val="32"/>
        </w:rPr>
        <w:t>安全稳定工作</w:t>
      </w:r>
      <w:r>
        <w:rPr>
          <w:rFonts w:hint="eastAsia" w:ascii="仿宋_GB2312" w:eastAsia="仿宋_GB2312"/>
          <w:sz w:val="32"/>
          <w:szCs w:val="32"/>
          <w:lang w:eastAsia="zh-CN"/>
        </w:rPr>
        <w:t>。</w:t>
      </w:r>
    </w:p>
    <w:p w14:paraId="6E7D75C6">
      <w:pPr>
        <w:pStyle w:val="2"/>
        <w:spacing w:before="0" w:after="0" w:line="600" w:lineRule="exact"/>
        <w:ind w:firstLine="640" w:firstLineChars="200"/>
        <w:rPr>
          <w:rFonts w:ascii="黑体" w:hAnsi="黑体" w:eastAsia="黑体"/>
          <w:b w:val="0"/>
          <w:sz w:val="32"/>
          <w:szCs w:val="32"/>
        </w:rPr>
      </w:pPr>
      <w:r>
        <w:rPr>
          <w:rFonts w:hint="eastAsia" w:ascii="黑体" w:hAnsi="黑体" w:eastAsia="黑体"/>
          <w:b w:val="0"/>
          <w:sz w:val="32"/>
          <w:szCs w:val="32"/>
        </w:rPr>
        <w:t>二、绩效评价情况</w:t>
      </w:r>
      <w:bookmarkEnd w:id="9"/>
    </w:p>
    <w:p w14:paraId="520FE830">
      <w:pPr>
        <w:pStyle w:val="3"/>
        <w:spacing w:before="0" w:after="0" w:line="600" w:lineRule="exact"/>
        <w:ind w:firstLine="640" w:firstLineChars="200"/>
        <w:rPr>
          <w:rFonts w:ascii="楷体" w:hAnsi="楷体" w:eastAsia="楷体"/>
          <w:b w:val="0"/>
        </w:rPr>
      </w:pPr>
      <w:bookmarkStart w:id="10" w:name="_Toc24624027"/>
      <w:r>
        <w:rPr>
          <w:rFonts w:hint="eastAsia" w:ascii="楷体" w:hAnsi="楷体" w:eastAsia="楷体"/>
          <w:b w:val="0"/>
        </w:rPr>
        <w:t>（一）评价目的</w:t>
      </w:r>
      <w:bookmarkEnd w:id="10"/>
    </w:p>
    <w:p w14:paraId="2D951341">
      <w:pPr>
        <w:spacing w:line="600" w:lineRule="exact"/>
        <w:ind w:firstLine="640" w:firstLineChars="200"/>
        <w:rPr>
          <w:rFonts w:ascii="仿宋_GB2312" w:eastAsia="仿宋_GB2312"/>
          <w:sz w:val="32"/>
          <w:szCs w:val="32"/>
        </w:rPr>
      </w:pPr>
      <w:r>
        <w:rPr>
          <w:rFonts w:hint="eastAsia" w:ascii="仿宋_GB2312" w:eastAsia="仿宋_GB2312"/>
          <w:sz w:val="32"/>
          <w:szCs w:val="32"/>
        </w:rPr>
        <w:t>开展部门整体支出绩效评价是全面贯彻落实《中共江苏省委 江苏省人民政府关于全面实施预算绩效管理的实施意见》的重要举措。开展部门整体支出评价的目的是“促进部门从整体提升预算绩效管理工作水平及使用效益，保障部门更好地履行职责”，具体包括：</w:t>
      </w:r>
    </w:p>
    <w:p w14:paraId="21265432">
      <w:pPr>
        <w:spacing w:line="600" w:lineRule="exact"/>
        <w:ind w:firstLine="640" w:firstLineChars="200"/>
        <w:rPr>
          <w:rFonts w:ascii="仿宋_GB2312" w:eastAsia="仿宋_GB2312"/>
          <w:sz w:val="32"/>
          <w:szCs w:val="32"/>
        </w:rPr>
      </w:pPr>
      <w:r>
        <w:rPr>
          <w:rFonts w:hint="eastAsia" w:ascii="仿宋_GB2312" w:eastAsia="仿宋_GB2312"/>
          <w:sz w:val="32"/>
          <w:szCs w:val="32"/>
        </w:rPr>
        <w:t>1.通过对部门整体支出开展绩效评价，可以发现部门管理的薄弱环节，促进其改进和创新管理方式，提高管理效能和管理质量。同时，发现部门在提供公共服务方面存在的短板和不足，为有效提高财政资金配置水平和提升政府公共服务质量做出积极探索。</w:t>
      </w:r>
    </w:p>
    <w:p w14:paraId="38297017">
      <w:pPr>
        <w:spacing w:line="600" w:lineRule="exact"/>
        <w:ind w:firstLine="640" w:firstLineChars="200"/>
        <w:rPr>
          <w:rFonts w:ascii="仿宋_GB2312" w:eastAsia="仿宋_GB2312"/>
          <w:sz w:val="32"/>
          <w:szCs w:val="32"/>
        </w:rPr>
      </w:pPr>
      <w:r>
        <w:rPr>
          <w:rFonts w:hint="eastAsia" w:ascii="仿宋_GB2312" w:eastAsia="仿宋_GB2312"/>
          <w:sz w:val="32"/>
          <w:szCs w:val="32"/>
        </w:rPr>
        <w:t>2.部门整体支出绩效评价更加关注部门财政资金的预算安排的合理性和整体效益，例如，资金结构与部门职能的匹配程度、预算规模对部门绩效目标实现的保障水平、资金的支出与部门所提供的公共服务的支持程度等，因此，部门整体支出绩效评价的覆盖面更广、层次更深，更能综合反映部门财政资金的综合效益。</w:t>
      </w:r>
    </w:p>
    <w:p w14:paraId="5BEC29C1">
      <w:pPr>
        <w:pStyle w:val="3"/>
        <w:spacing w:before="0" w:after="0" w:line="600" w:lineRule="exact"/>
        <w:ind w:firstLine="640" w:firstLineChars="200"/>
        <w:rPr>
          <w:rFonts w:ascii="楷体" w:hAnsi="楷体" w:eastAsia="楷体"/>
          <w:b w:val="0"/>
        </w:rPr>
      </w:pPr>
      <w:r>
        <w:rPr>
          <w:rFonts w:hint="eastAsia" w:ascii="楷体" w:hAnsi="楷体" w:eastAsia="楷体"/>
          <w:b w:val="0"/>
        </w:rPr>
        <w:t>（二）评价对象及范围</w:t>
      </w:r>
    </w:p>
    <w:p w14:paraId="6661C2B1">
      <w:pPr>
        <w:spacing w:line="600" w:lineRule="exact"/>
        <w:ind w:firstLine="640" w:firstLineChars="200"/>
        <w:rPr>
          <w:rFonts w:ascii="仿宋_GB2312" w:eastAsia="仿宋_GB2312"/>
          <w:sz w:val="32"/>
          <w:szCs w:val="32"/>
        </w:rPr>
      </w:pPr>
      <w:r>
        <w:rPr>
          <w:rFonts w:hint="eastAsia" w:ascii="仿宋_GB2312" w:eastAsia="仿宋_GB2312"/>
          <w:sz w:val="32"/>
          <w:szCs w:val="32"/>
        </w:rPr>
        <w:t>纳入市卫健委</w:t>
      </w:r>
      <w:r>
        <w:rPr>
          <w:rFonts w:hint="eastAsia" w:ascii="仿宋_GB2312" w:eastAsia="仿宋_GB2312"/>
          <w:sz w:val="32"/>
          <w:szCs w:val="32"/>
          <w:lang w:eastAsia="zh-CN"/>
        </w:rPr>
        <w:t>2023</w:t>
      </w:r>
      <w:r>
        <w:rPr>
          <w:rFonts w:hint="eastAsia" w:ascii="仿宋_GB2312" w:eastAsia="仿宋_GB2312"/>
          <w:sz w:val="32"/>
          <w:szCs w:val="32"/>
        </w:rPr>
        <w:t>年度部门预算的全部收入和支出。</w:t>
      </w:r>
    </w:p>
    <w:p w14:paraId="3339AE51">
      <w:pPr>
        <w:pStyle w:val="3"/>
        <w:spacing w:before="0" w:after="0" w:line="600" w:lineRule="exact"/>
        <w:ind w:firstLine="640" w:firstLineChars="200"/>
        <w:rPr>
          <w:rFonts w:ascii="楷体" w:hAnsi="楷体" w:eastAsia="楷体"/>
          <w:b w:val="0"/>
        </w:rPr>
      </w:pPr>
      <w:bookmarkStart w:id="11" w:name="_Toc24624029"/>
      <w:r>
        <w:rPr>
          <w:rFonts w:hint="eastAsia" w:ascii="楷体" w:hAnsi="楷体" w:eastAsia="楷体"/>
          <w:b w:val="0"/>
        </w:rPr>
        <w:t>（三）评价思路</w:t>
      </w:r>
      <w:bookmarkEnd w:id="11"/>
    </w:p>
    <w:p w14:paraId="333D7F19">
      <w:pPr>
        <w:spacing w:line="600" w:lineRule="exact"/>
        <w:ind w:firstLine="640" w:firstLineChars="200"/>
        <w:rPr>
          <w:rFonts w:ascii="仿宋_GB2312" w:eastAsia="仿宋_GB2312"/>
          <w:sz w:val="32"/>
          <w:szCs w:val="32"/>
        </w:rPr>
      </w:pPr>
      <w:r>
        <w:rPr>
          <w:rFonts w:hint="eastAsia" w:ascii="仿宋_GB2312" w:eastAsia="仿宋_GB2312"/>
          <w:sz w:val="32"/>
          <w:szCs w:val="32"/>
        </w:rPr>
        <w:t>部门整体支出绩效评价不同于一般性的项目支出绩效评价，主要以财政资金管理使用为主线，以部门履职情况为核心内容，部门整体支出对应部门职能范围内的一切权、责、钱、人、事等因素的综合作用结果，紧紧围绕综合性、宏观性和政策性，以部门履职为核心要素。其中，综合性是指部门整体支出不仅体现为自身运作的支出，更体现为部门履职的支出，即从支出的构成上包括基本支出和项目支出。宏观性则是要在部门履职的基础上，强调以结果为导向、以公众满意为目的等理念，围绕绩效的内涵，满足经济性、效率性和效益性。政策性是指部门整体支出绩效评价具有政策指导意义，绩效评价的结果对于政策的调整或优化都有积极意义。</w:t>
      </w:r>
    </w:p>
    <w:p w14:paraId="450A9277">
      <w:pPr>
        <w:spacing w:line="600" w:lineRule="exact"/>
        <w:ind w:firstLine="640" w:firstLineChars="200"/>
        <w:rPr>
          <w:rFonts w:ascii="仿宋_GB2312" w:eastAsia="仿宋_GB2312"/>
          <w:sz w:val="32"/>
          <w:szCs w:val="32"/>
        </w:rPr>
      </w:pPr>
      <w:r>
        <w:rPr>
          <w:rFonts w:hint="eastAsia" w:ascii="仿宋_GB2312" w:eastAsia="仿宋_GB2312"/>
          <w:sz w:val="32"/>
          <w:szCs w:val="32"/>
        </w:rPr>
        <w:t>因此，部门整体支出绩效评价应围绕部门职责，以预算资金管理为主线，以部门履职情况为核心内容，统筹考虑资产和业务活动，从运行成本、管理效率、履职效能、社会效应、能力建设和服务对象满意度等方面，综合衡量部门整体及核心业务实施效果。</w:t>
      </w:r>
    </w:p>
    <w:p w14:paraId="3745688B">
      <w:pPr>
        <w:pStyle w:val="3"/>
        <w:spacing w:before="0" w:after="0" w:line="600" w:lineRule="exact"/>
        <w:ind w:firstLine="640" w:firstLineChars="200"/>
        <w:rPr>
          <w:rFonts w:ascii="楷体" w:hAnsi="楷体" w:eastAsia="楷体"/>
          <w:b w:val="0"/>
        </w:rPr>
      </w:pPr>
      <w:bookmarkStart w:id="12" w:name="_Toc24624031"/>
      <w:r>
        <w:rPr>
          <w:rFonts w:hint="eastAsia" w:ascii="楷体" w:hAnsi="楷体" w:eastAsia="楷体"/>
          <w:b w:val="0"/>
        </w:rPr>
        <w:t>（四）评价方法</w:t>
      </w:r>
      <w:bookmarkEnd w:id="12"/>
    </w:p>
    <w:p w14:paraId="1CF42648">
      <w:pPr>
        <w:spacing w:line="600" w:lineRule="exact"/>
        <w:ind w:firstLine="640" w:firstLineChars="200"/>
        <w:rPr>
          <w:rFonts w:ascii="仿宋_GB2312" w:eastAsia="仿宋_GB2312"/>
          <w:sz w:val="32"/>
          <w:szCs w:val="32"/>
        </w:rPr>
      </w:pPr>
      <w:r>
        <w:rPr>
          <w:rFonts w:hint="eastAsia" w:ascii="仿宋_GB2312" w:eastAsia="仿宋_GB2312"/>
          <w:sz w:val="32"/>
          <w:szCs w:val="32"/>
        </w:rPr>
        <w:t>综合运用成本效益分析法、因素分析法、专家评审法等方法，具体通过文献梳理、调研访谈、制定评价指标和标准、数据采集、问卷调查等方式进行部门整体支出绩效综合评价。评价指标采取定量与定性相结合、优先定量的原则。</w:t>
      </w:r>
    </w:p>
    <w:p w14:paraId="1A12E80A">
      <w:pPr>
        <w:pStyle w:val="3"/>
        <w:spacing w:before="0" w:after="0" w:line="600" w:lineRule="exact"/>
        <w:ind w:firstLine="640" w:firstLineChars="200"/>
        <w:rPr>
          <w:rFonts w:ascii="楷体" w:hAnsi="楷体" w:eastAsia="楷体"/>
          <w:b w:val="0"/>
        </w:rPr>
      </w:pPr>
      <w:bookmarkStart w:id="13" w:name="_Toc24624032"/>
      <w:r>
        <w:rPr>
          <w:rFonts w:hint="eastAsia" w:ascii="楷体" w:hAnsi="楷体" w:eastAsia="楷体"/>
          <w:b w:val="0"/>
        </w:rPr>
        <w:t>（五）绩效评价结论</w:t>
      </w:r>
      <w:bookmarkEnd w:id="13"/>
    </w:p>
    <w:p w14:paraId="6D241984">
      <w:pPr>
        <w:spacing w:line="600" w:lineRule="exact"/>
        <w:ind w:firstLine="640" w:firstLineChars="200"/>
        <w:rPr>
          <w:rFonts w:ascii="仿宋_GB2312" w:eastAsia="仿宋_GB2312"/>
          <w:color w:val="FF0000"/>
          <w:sz w:val="32"/>
          <w:szCs w:val="32"/>
        </w:rPr>
      </w:pPr>
      <w:r>
        <w:rPr>
          <w:rFonts w:hint="eastAsia" w:ascii="仿宋_GB2312" w:eastAsia="仿宋_GB2312"/>
          <w:sz w:val="32"/>
          <w:szCs w:val="32"/>
        </w:rPr>
        <w:t>以指标体系为基础，经过确认评价基础数据，按照制定的评价标准与评分规则，项目组以100分为评价标杆分值，从部门决策、部门管理、部门履职、履职绩效、可持续发展能力等五个方面进行综合评价和量化打分，经评价，市卫健</w:t>
      </w:r>
      <w:r>
        <w:rPr>
          <w:rFonts w:hint="eastAsia" w:ascii="仿宋_GB2312" w:eastAsia="仿宋_GB2312"/>
          <w:color w:val="auto"/>
          <w:sz w:val="32"/>
          <w:szCs w:val="32"/>
        </w:rPr>
        <w:t>委</w:t>
      </w:r>
      <w:r>
        <w:rPr>
          <w:rFonts w:hint="eastAsia" w:ascii="仿宋_GB2312" w:eastAsia="仿宋_GB2312"/>
          <w:color w:val="auto"/>
          <w:sz w:val="32"/>
          <w:szCs w:val="32"/>
          <w:lang w:val="en-US" w:eastAsia="zh-CN"/>
        </w:rPr>
        <w:t>2023</w:t>
      </w:r>
      <w:r>
        <w:rPr>
          <w:rFonts w:hint="eastAsia" w:ascii="仿宋_GB2312" w:eastAsia="仿宋_GB2312"/>
          <w:color w:val="auto"/>
          <w:sz w:val="32"/>
          <w:szCs w:val="32"/>
        </w:rPr>
        <w:t>年度部门整体支出绩效评分结果为</w:t>
      </w:r>
      <w:r>
        <w:rPr>
          <w:rFonts w:hint="eastAsia" w:ascii="仿宋_GB2312" w:eastAsia="仿宋_GB2312"/>
          <w:b/>
          <w:color w:val="auto"/>
          <w:sz w:val="32"/>
          <w:szCs w:val="32"/>
          <w:lang w:val="en-US" w:eastAsia="zh-CN"/>
        </w:rPr>
        <w:t>99.32</w:t>
      </w:r>
      <w:r>
        <w:rPr>
          <w:rFonts w:hint="eastAsia" w:ascii="仿宋_GB2312" w:eastAsia="仿宋_GB2312"/>
          <w:color w:val="auto"/>
          <w:sz w:val="32"/>
          <w:szCs w:val="32"/>
        </w:rPr>
        <w:t>分（详见附件2：《南京市卫生健康委员会</w:t>
      </w:r>
      <w:r>
        <w:rPr>
          <w:rFonts w:hint="eastAsia" w:ascii="仿宋_GB2312" w:eastAsia="仿宋_GB2312"/>
          <w:color w:val="auto"/>
          <w:sz w:val="32"/>
          <w:szCs w:val="32"/>
          <w:lang w:eastAsia="zh-CN"/>
        </w:rPr>
        <w:t>2023</w:t>
      </w:r>
      <w:r>
        <w:rPr>
          <w:rFonts w:hint="eastAsia" w:ascii="仿宋_GB2312" w:eastAsia="仿宋_GB2312"/>
          <w:color w:val="auto"/>
          <w:sz w:val="32"/>
          <w:szCs w:val="32"/>
        </w:rPr>
        <w:t>年度部门整体支出绩效综合评价表》），等级“</w:t>
      </w:r>
      <w:r>
        <w:rPr>
          <w:rFonts w:hint="eastAsia" w:ascii="仿宋_GB2312" w:eastAsia="仿宋_GB2312"/>
          <w:b/>
          <w:color w:val="auto"/>
          <w:sz w:val="32"/>
          <w:szCs w:val="32"/>
        </w:rPr>
        <w:t>优秀</w:t>
      </w:r>
      <w:r>
        <w:rPr>
          <w:rFonts w:hint="eastAsia" w:ascii="仿宋_GB2312" w:eastAsia="仿宋_GB2312"/>
          <w:color w:val="auto"/>
          <w:sz w:val="32"/>
          <w:szCs w:val="32"/>
        </w:rPr>
        <w:t>”。</w:t>
      </w:r>
    </w:p>
    <w:p w14:paraId="2EF25D1C">
      <w:pPr>
        <w:pStyle w:val="2"/>
        <w:spacing w:before="0" w:after="0" w:line="600" w:lineRule="exact"/>
        <w:ind w:firstLine="640" w:firstLineChars="200"/>
        <w:rPr>
          <w:rFonts w:ascii="黑体" w:hAnsi="黑体" w:eastAsia="黑体"/>
          <w:b w:val="0"/>
          <w:sz w:val="32"/>
          <w:szCs w:val="32"/>
        </w:rPr>
      </w:pPr>
      <w:bookmarkStart w:id="14" w:name="_Toc24624033"/>
      <w:r>
        <w:rPr>
          <w:rFonts w:hint="eastAsia" w:ascii="黑体" w:hAnsi="黑体" w:eastAsia="黑体"/>
          <w:b w:val="0"/>
          <w:sz w:val="32"/>
          <w:szCs w:val="32"/>
        </w:rPr>
        <w:t>三、部门整体支出的主要成效</w:t>
      </w:r>
      <w:bookmarkEnd w:id="14"/>
    </w:p>
    <w:p w14:paraId="40303E3C">
      <w:pPr>
        <w:spacing w:line="600" w:lineRule="exact"/>
        <w:ind w:firstLine="640" w:firstLineChars="200"/>
        <w:rPr>
          <w:rFonts w:hint="eastAsia" w:ascii="仿宋_GB2312" w:eastAsia="仿宋_GB2312"/>
          <w:sz w:val="32"/>
          <w:szCs w:val="32"/>
        </w:rPr>
      </w:pPr>
      <w:bookmarkStart w:id="15" w:name="_Toc24624037"/>
      <w:r>
        <w:rPr>
          <w:rFonts w:hint="eastAsia" w:ascii="仿宋_GB2312" w:eastAsia="仿宋_GB2312"/>
          <w:sz w:val="32"/>
          <w:szCs w:val="32"/>
        </w:rPr>
        <w:t>（一）新阶段疫情防控工作毫不放松。一是强化新冠疫情监测预警。常态化开展13项监测，共报告新冠病毒感染近5万例，规范处置新变异株疫情112起、聚集性疫情10起。二是统筹患者医疗救治。全市239家医疗机构发热门诊（诊室）应开尽开，累计接诊新冠病毒核酸或抗原阳性患者22328人次。三是做实新冠重点人群健康服务。推动老年人等重点群体接种新冠病毒疫苗，累计接种967.9万人。开展重点人群分级分类管理，全市录入省重点人群健康状况管理系统的65岁以上老人总数达120.9万。</w:t>
      </w:r>
    </w:p>
    <w:p w14:paraId="7BA71015">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健康南京建设大力推进。一是广泛开展爱国卫生运动。开展第35个爱国卫生月活动，我市被全国爱卫办遴选为健康城市建设推动健康中国行动创新模式试点城市。二是持续推进健康促进工作。我市获全省病媒生物防制技能竞赛团体第一名。在《清华城市健康指数2023》参评的296个城市中，南京仅次于上海、北京，位列全国第三。三是大力推动卫生城市迎复审。开展纠治卫生城镇创建形式主义官僚主义专项行动，高分通过国家复审，受邀在全国大会上发言。</w:t>
      </w:r>
    </w:p>
    <w:p w14:paraId="668AD8BC">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综合医改工作持续深化。一是持续推进公立医院综合改革。出台我市持续深化医改实施意见，支持5家市属医院开展国家、省级试点，开展首届深化医改典型案例征集评选。我市被省政府评为2022年深化医药卫生体制改革真抓实干成效明显地方。二是加快分级诊疗制度建设。下派医务人员5.4万人次，帮扶基层特色科室127个。承办全国家庭医生签约服务经验交流会，并在大会上交流经验。三是健全完善药品供应保障体系。加强短缺药品监测预警，推进药事质量控制，持续强化麻醉药品和精神药品采购使用监管。四是有序推进卫生监督体系建设。国家和省双随机监督抽查任务完结率100%，在东南大学建成省级生活饮用水卫生监督执法实训基地。五是不断推进智慧医疗建设。市属医院实现医疗缴费移动支付全覆盖，我市在全国卫生健康信息化发展指数排名中位列直辖市、副省级及省会城市第5位。</w:t>
      </w:r>
    </w:p>
    <w:p w14:paraId="75D50183">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公共卫生体系建设不断加强。一是全力推进疾控体系改革。挂牌成立市疾病预防控制局，完成二级以上公立医院公共卫生科设置，市疾控中心挂牌南京医科大学公共卫生研究院。二是有效加强传染病防控。全市共报告甲类传染病1种、乙类传染病16种。全市查螺、药物灭螺面积均超额完成全年计划，为57.7万名60岁以上老年人提供免费艾滋病病毒检测。三是有序推进慢性病防治。构建慢性病防治工作机制，雨花台区通过国家慢性病综合防控示范区复评审。四是扎实开展精神卫生工作。开展严重精神障碍患者应用长效针剂管理试点，患者规范管理率达97.52%。五是规范实施免疫规划。首次将水痘减毒活疫苗纳入儿童免疫规划，组织预防接种异常反应专家调查诊断培训。六是持续开展卫生应急工作。全年处置突发公共卫生事件31起、特殊事件紧急医疗救援171起，圆满完成江苏发展大会、南京马拉松等46项重大活动医疗保障。</w:t>
      </w:r>
    </w:p>
    <w:p w14:paraId="4BF58AFA">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医疗卫生服务体系全面增强。一是提升医疗服务水平。大力改善患者就医体验，启动困难群众重大疾病大筛查大救治大普惠，指导南京地区医疗机构开放周末门诊，新增4家市级创伤救治中心。二是强化医疗质量管理。全市57家质控中心共组织检查医疗机构2118家次，印发通报54期。加强临床路径与病案管理，推动临床路径与电子病历系统全流程衔接。三是优化医疗资源供给。5家市属医院获批省高水平医院，推进新五区医院转设三级医院，完成新建3个急救站（点）的省民生实事任务，全市9家医疗机构可提供国际商保直接结算服务。四是构建基层优先发展机制。新增省社区医院10个、省级农村区域性医疗卫生中心7个，全市基层医疗卫生机构在全省率先全部达到国家优质服务基层行建设标准。我市获2022年度全省基本公卫和家庭医生签约服务工作绩效评价第一名，基层卫生服务能力和队伍建设获省政府2022年度真抓实干督查激励表彰。五是创新发展中医药工作。我市入选2023年中央财政支持中医药传承创新发展示范试点项目。《南京市促进中医药传承创新发展条例》正式实施，我市成为首个为中医药立法的省会城市。</w:t>
      </w:r>
    </w:p>
    <w:p w14:paraId="38573BF8">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六）重点人群健康保障水平稳步提高。一是不断提升老龄健康服务能力。完成新增2家二级以上公立综合性医院设立老年医学科、优化提升5家护理院等省民生实事任务。7家社区被评为全国示范性老年友好型社区。二是不断加大妇女儿童健康保障力度。我市入选首批国家婴幼儿照护示范城市，每千人口拥有3岁以下婴幼儿托位数4.6个，居全国第一。顺利通过国家消除“艾梅乙”现场评估，市妇幼保健院、江宁区妇保中心分别被国家卫健委命名为首批国家孕前、婚前保健特色专科建设单位。三是不断提高人口家庭发展能力。我委在全国第五届人口发展战略研讨会上作交流发言，江宁区卫健委被国家卫健委命名表彰为“全国生育友好先进单位”。《南京市人口与生育服务规定》正式实施。报请市政府为部分在外省退休的本市户籍人员落实计划生育一次性奖励政策。四是不断深化职业健康工作。开展职业病危害专项治理，推进健康企业建设，我市获省职业健康技能竞赛团体一等奖。</w:t>
      </w:r>
    </w:p>
    <w:p w14:paraId="36DC0F4B">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七）科教创新和人才队伍建设有效提升。一是推进卫生健康科技创新和成果转化。确认首批市卫生健康科教管理质控中心3个，立项市卫生科技发展资金项目323项，奖励医学新技术50项。二是加强卫生人才队伍建设。2人入选国家卫生健康突出贡献中青年专家，1人获得第二届钟南山青年科技创新奖，1人当选美国护理科学院院士。顾宁院士担任鼓楼医院心血管医学中心主任。三是提升基层卫生人员能力水平。建成基层卫生人员实训基地10个，评选优秀家庭医生团队长34名，2个集体获评省十强家庭医生团队。此外，圆满完成援外（圭亚那、马耳他）医疗任务。</w:t>
      </w:r>
    </w:p>
    <w:p w14:paraId="52BBF0D4">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八）安全稳定工作深入开展。一是深化安全生产督导检查。全年召开18次安全生产办公会、专题会，春节、国庆等节日前委领导班子均带队赴各直属单位开展安全生产检查。组织事故应急演练165场，自救互救技能培训148场，开展各类安全生产督查检查，发现问题隐患7248条。二是推进生物安全管理。完成实验室生物安全备案审核175家，持续开展生物安全知识培训。三是持续做好保密安全和信访稳定工作。开展保密、国家安全专题教育，组织突出信访事项攻坚专项行动。平稳有序推进医药领域腐败问题集中整治。</w:t>
      </w:r>
    </w:p>
    <w:p w14:paraId="29345C77">
      <w:pPr>
        <w:pStyle w:val="2"/>
        <w:spacing w:before="0" w:after="0" w:line="360" w:lineRule="auto"/>
        <w:ind w:firstLine="640" w:firstLineChars="200"/>
        <w:rPr>
          <w:rFonts w:ascii="黑体" w:hAnsi="黑体" w:eastAsia="黑体"/>
          <w:b w:val="0"/>
          <w:sz w:val="32"/>
          <w:szCs w:val="32"/>
        </w:rPr>
      </w:pPr>
      <w:r>
        <w:rPr>
          <w:rFonts w:hint="eastAsia" w:ascii="黑体" w:hAnsi="黑体" w:eastAsia="黑体"/>
          <w:b w:val="0"/>
          <w:sz w:val="32"/>
          <w:szCs w:val="32"/>
        </w:rPr>
        <w:t>四、部门整体支出绩效存在的问题</w:t>
      </w:r>
      <w:bookmarkEnd w:id="15"/>
    </w:p>
    <w:p w14:paraId="115F1B19">
      <w:pPr>
        <w:pStyle w:val="3"/>
        <w:spacing w:before="0" w:after="0" w:line="600" w:lineRule="exact"/>
        <w:ind w:firstLine="640" w:firstLineChars="200"/>
        <w:rPr>
          <w:rFonts w:ascii="楷体" w:hAnsi="楷体" w:eastAsia="楷体"/>
          <w:b w:val="0"/>
        </w:rPr>
      </w:pPr>
      <w:bookmarkStart w:id="16" w:name="_Toc24624041"/>
      <w:r>
        <w:rPr>
          <w:rFonts w:hint="eastAsia" w:ascii="楷体" w:hAnsi="楷体" w:eastAsia="楷体"/>
          <w:b w:val="0"/>
          <w:lang w:eastAsia="zh-CN"/>
        </w:rPr>
        <w:t>部分市级</w:t>
      </w:r>
      <w:r>
        <w:rPr>
          <w:rFonts w:hint="eastAsia" w:ascii="楷体" w:hAnsi="楷体" w:eastAsia="楷体"/>
          <w:b w:val="0"/>
        </w:rPr>
        <w:t>项目预算执行安排有待进一步加强</w:t>
      </w:r>
    </w:p>
    <w:p w14:paraId="67A03B2D">
      <w:pPr>
        <w:spacing w:line="600" w:lineRule="exact"/>
        <w:ind w:firstLine="640" w:firstLineChars="200"/>
        <w:rPr>
          <w:rFonts w:hint="eastAsia" w:ascii="仿宋_GB2312" w:eastAsia="仿宋_GB2312"/>
          <w:sz w:val="32"/>
          <w:szCs w:val="32"/>
        </w:rPr>
      </w:pPr>
      <w:r>
        <w:rPr>
          <w:rFonts w:hint="eastAsia" w:ascii="仿宋_GB2312" w:hAnsi="仿宋_GB2312" w:eastAsia="仿宋_GB2312" w:cs="仿宋_GB2312"/>
          <w:b w:val="0"/>
          <w:bCs w:val="0"/>
          <w:kern w:val="2"/>
          <w:sz w:val="32"/>
          <w:szCs w:val="32"/>
          <w:lang w:val="en-US" w:eastAsia="zh-CN" w:bidi="ar-SA"/>
        </w:rPr>
        <w:t>预算绩效评价过程中发现，部分市级专项目执行进度偏慢，如医学科技发展专项，整体支出进度低于50%，主要集中在市属医疗机构的支付进度偏慢，一是因为课题等项目的周期较长，资金需根据课题进度来支付；二是部分采购事项需根据合同要求分阶段结算费用，支付周期较长；三是</w:t>
      </w:r>
      <w:r>
        <w:rPr>
          <w:rFonts w:hint="eastAsia" w:ascii="方正仿宋_GBK" w:hAnsi="方正仿宋_GBK" w:eastAsia="方正仿宋_GBK" w:cs="方正仿宋_GBK"/>
          <w:sz w:val="32"/>
          <w:szCs w:val="32"/>
        </w:rPr>
        <w:t>项目未按计划完成阶段任务</w:t>
      </w:r>
      <w:r>
        <w:rPr>
          <w:rFonts w:hint="eastAsia" w:ascii="方正仿宋_GBK" w:hAnsi="方正仿宋_GBK" w:eastAsia="方正仿宋_GBK" w:cs="方正仿宋_GBK"/>
          <w:sz w:val="32"/>
          <w:szCs w:val="32"/>
          <w:lang w:eastAsia="zh-CN"/>
        </w:rPr>
        <w:t>。</w:t>
      </w:r>
    </w:p>
    <w:p w14:paraId="0D3B73E4">
      <w:pPr>
        <w:pStyle w:val="2"/>
        <w:numPr>
          <w:ilvl w:val="0"/>
          <w:numId w:val="1"/>
        </w:numPr>
        <w:spacing w:before="0" w:after="0" w:line="600" w:lineRule="exact"/>
        <w:ind w:firstLine="640" w:firstLineChars="200"/>
        <w:rPr>
          <w:rFonts w:ascii="黑体" w:hAnsi="黑体" w:eastAsia="黑体"/>
          <w:b w:val="0"/>
          <w:sz w:val="32"/>
          <w:szCs w:val="32"/>
        </w:rPr>
      </w:pPr>
      <w:r>
        <w:rPr>
          <w:rFonts w:hint="eastAsia" w:ascii="黑体" w:hAnsi="黑体" w:eastAsia="黑体"/>
          <w:b w:val="0"/>
          <w:sz w:val="32"/>
          <w:szCs w:val="32"/>
        </w:rPr>
        <w:t>有关建议</w:t>
      </w:r>
      <w:bookmarkEnd w:id="16"/>
    </w:p>
    <w:p w14:paraId="7B3BC7F1">
      <w:pPr>
        <w:pStyle w:val="3"/>
        <w:spacing w:before="0" w:after="0" w:line="600" w:lineRule="exact"/>
        <w:ind w:firstLine="640" w:firstLineChars="200"/>
        <w:rPr>
          <w:rFonts w:hint="eastAsia" w:ascii="楷体" w:hAnsi="楷体" w:eastAsia="楷体"/>
          <w:b w:val="0"/>
          <w:lang w:eastAsia="zh-CN"/>
        </w:rPr>
      </w:pPr>
      <w:r>
        <w:rPr>
          <w:rFonts w:hint="eastAsia" w:ascii="楷体" w:hAnsi="楷体" w:eastAsia="楷体"/>
          <w:b w:val="0"/>
        </w:rPr>
        <w:t>进一步加强预算执行管理</w:t>
      </w:r>
      <w:r>
        <w:rPr>
          <w:rFonts w:hint="eastAsia" w:ascii="楷体" w:hAnsi="楷体" w:eastAsia="楷体"/>
          <w:b w:val="0"/>
          <w:lang w:eastAsia="zh-CN"/>
        </w:rPr>
        <w:t>及绩效考核结果的应用</w:t>
      </w:r>
    </w:p>
    <w:p w14:paraId="523D67C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资金主管处室通过对专项资金绩效考核，结合考核结果，对明显偏离考核目标的项目将不再继续拨付资金，对于考核不合格的科研课题，其经费收回财政部门。</w:t>
      </w:r>
    </w:p>
    <w:p w14:paraId="31E8BCA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六、评价工作开展情况及其他需说明的情况</w:t>
      </w:r>
    </w:p>
    <w:p w14:paraId="6279D4FE">
      <w:pPr>
        <w:widowControl/>
        <w:spacing w:line="560" w:lineRule="exact"/>
        <w:ind w:firstLine="420" w:firstLineChars="200"/>
        <w:jc w:val="left"/>
        <w:rPr>
          <w:rFonts w:hint="default" w:ascii="仿宋" w:hAnsi="仿宋" w:eastAsia="仿宋"/>
          <w:sz w:val="32"/>
          <w:szCs w:val="32"/>
        </w:rPr>
      </w:pPr>
      <w:r>
        <w:rPr>
          <w:rFonts w:hint="eastAsia"/>
          <w:lang w:val="en-US" w:eastAsia="zh-CN"/>
        </w:rPr>
        <w:t xml:space="preserve">   </w:t>
      </w:r>
      <w:r>
        <w:rPr>
          <w:rFonts w:hint="default" w:ascii="仿宋" w:hAnsi="仿宋" w:eastAsia="仿宋"/>
          <w:sz w:val="32"/>
          <w:szCs w:val="32"/>
        </w:rPr>
        <w:t>（一）评价工作展开情况</w:t>
      </w:r>
    </w:p>
    <w:p w14:paraId="6DEDFD48">
      <w:pPr>
        <w:widowControl/>
        <w:spacing w:line="560" w:lineRule="exact"/>
        <w:ind w:firstLine="640" w:firstLineChars="200"/>
        <w:jc w:val="left"/>
        <w:rPr>
          <w:rFonts w:hint="default" w:ascii="仿宋" w:hAnsi="仿宋" w:eastAsia="仿宋"/>
          <w:sz w:val="32"/>
          <w:szCs w:val="32"/>
        </w:rPr>
      </w:pPr>
      <w:r>
        <w:rPr>
          <w:rFonts w:hint="default" w:ascii="仿宋" w:hAnsi="仿宋" w:eastAsia="仿宋"/>
          <w:sz w:val="32"/>
          <w:szCs w:val="32"/>
        </w:rPr>
        <w:t>1.评价基本情况</w:t>
      </w:r>
    </w:p>
    <w:p w14:paraId="53DFCE03">
      <w:pPr>
        <w:widowControl/>
        <w:spacing w:line="560" w:lineRule="exact"/>
        <w:ind w:firstLine="640" w:firstLineChars="200"/>
        <w:jc w:val="left"/>
        <w:rPr>
          <w:rFonts w:hint="default" w:ascii="仿宋" w:hAnsi="仿宋" w:eastAsia="仿宋"/>
          <w:sz w:val="32"/>
          <w:szCs w:val="32"/>
        </w:rPr>
      </w:pPr>
      <w:r>
        <w:rPr>
          <w:rFonts w:hint="default" w:ascii="仿宋" w:hAnsi="仿宋" w:eastAsia="仿宋"/>
          <w:sz w:val="32"/>
          <w:szCs w:val="32"/>
        </w:rPr>
        <w:t>本次绩效自评价对象是</w:t>
      </w:r>
      <w:r>
        <w:rPr>
          <w:rFonts w:hint="eastAsia" w:ascii="仿宋" w:hAnsi="仿宋" w:eastAsia="仿宋"/>
          <w:sz w:val="32"/>
          <w:szCs w:val="32"/>
          <w:lang w:eastAsia="zh-CN"/>
        </w:rPr>
        <w:t>2023</w:t>
      </w:r>
      <w:r>
        <w:rPr>
          <w:rFonts w:hint="default" w:ascii="仿宋" w:hAnsi="仿宋" w:eastAsia="仿宋"/>
          <w:sz w:val="32"/>
          <w:szCs w:val="32"/>
        </w:rPr>
        <w:t>年度</w:t>
      </w:r>
      <w:r>
        <w:rPr>
          <w:rFonts w:hint="eastAsia" w:ascii="仿宋" w:hAnsi="仿宋" w:eastAsia="仿宋"/>
          <w:sz w:val="32"/>
          <w:szCs w:val="32"/>
          <w:lang w:eastAsia="zh-CN"/>
        </w:rPr>
        <w:t>市卫健委部门预算</w:t>
      </w:r>
      <w:r>
        <w:rPr>
          <w:rFonts w:hint="default" w:ascii="仿宋" w:hAnsi="仿宋" w:eastAsia="仿宋"/>
          <w:sz w:val="32"/>
          <w:szCs w:val="32"/>
        </w:rPr>
        <w:t>；目的是通过开展</w:t>
      </w:r>
      <w:r>
        <w:rPr>
          <w:rFonts w:hint="eastAsia" w:ascii="仿宋" w:hAnsi="仿宋" w:eastAsia="仿宋"/>
          <w:sz w:val="32"/>
          <w:szCs w:val="32"/>
          <w:lang w:eastAsia="zh-CN"/>
        </w:rPr>
        <w:t>整体</w:t>
      </w:r>
      <w:r>
        <w:rPr>
          <w:rFonts w:hint="default" w:ascii="仿宋" w:hAnsi="仿宋" w:eastAsia="仿宋"/>
          <w:sz w:val="32"/>
          <w:szCs w:val="32"/>
        </w:rPr>
        <w:t>绩效自评价，进一步规范</w:t>
      </w:r>
      <w:r>
        <w:rPr>
          <w:rFonts w:hint="eastAsia" w:ascii="仿宋" w:hAnsi="仿宋" w:eastAsia="仿宋"/>
          <w:sz w:val="32"/>
          <w:szCs w:val="32"/>
          <w:lang w:eastAsia="zh-CN"/>
        </w:rPr>
        <w:t>单位预算</w:t>
      </w:r>
      <w:r>
        <w:rPr>
          <w:rFonts w:hint="default" w:ascii="仿宋" w:hAnsi="仿宋" w:eastAsia="仿宋"/>
          <w:sz w:val="32"/>
          <w:szCs w:val="32"/>
        </w:rPr>
        <w:t>管理，强化绩效和责任意识，切实提高资金使用效益；评价遵循科学规范、客观公正和实事求是三项原则，主要采用综合评价法进行评价。</w:t>
      </w:r>
    </w:p>
    <w:p w14:paraId="20B9AB6A">
      <w:pPr>
        <w:widowControl/>
        <w:spacing w:line="560" w:lineRule="exact"/>
        <w:ind w:firstLine="640" w:firstLineChars="200"/>
        <w:jc w:val="left"/>
        <w:rPr>
          <w:rFonts w:hint="default" w:ascii="仿宋" w:hAnsi="仿宋" w:eastAsia="仿宋"/>
          <w:sz w:val="32"/>
          <w:szCs w:val="32"/>
        </w:rPr>
      </w:pPr>
      <w:r>
        <w:rPr>
          <w:rFonts w:hint="default" w:ascii="仿宋" w:hAnsi="仿宋" w:eastAsia="仿宋"/>
          <w:sz w:val="32"/>
          <w:szCs w:val="32"/>
        </w:rPr>
        <w:t>2.评价实施情况</w:t>
      </w:r>
    </w:p>
    <w:p w14:paraId="691DD254">
      <w:pPr>
        <w:widowControl/>
        <w:spacing w:line="560" w:lineRule="exact"/>
        <w:ind w:firstLine="640" w:firstLineChars="200"/>
        <w:jc w:val="left"/>
        <w:rPr>
          <w:rFonts w:hint="default" w:ascii="仿宋" w:hAnsi="仿宋" w:eastAsia="仿宋"/>
          <w:sz w:val="32"/>
          <w:szCs w:val="32"/>
        </w:rPr>
      </w:pPr>
      <w:r>
        <w:rPr>
          <w:rFonts w:hint="default" w:ascii="仿宋" w:hAnsi="仿宋" w:eastAsia="仿宋"/>
          <w:sz w:val="32"/>
          <w:szCs w:val="32"/>
        </w:rPr>
        <w:t>本次自评价包括调研沟通、收集</w:t>
      </w:r>
      <w:r>
        <w:rPr>
          <w:rFonts w:hint="eastAsia" w:ascii="仿宋" w:hAnsi="仿宋" w:eastAsia="仿宋"/>
          <w:sz w:val="32"/>
          <w:szCs w:val="32"/>
          <w:lang w:eastAsia="zh-CN"/>
        </w:rPr>
        <w:t>数据</w:t>
      </w:r>
      <w:r>
        <w:rPr>
          <w:rFonts w:hint="default" w:ascii="仿宋" w:hAnsi="仿宋" w:eastAsia="仿宋"/>
          <w:sz w:val="32"/>
          <w:szCs w:val="32"/>
        </w:rPr>
        <w:t>资料、确定指标体系、明确绩效评价方法、形成评价方案、现场考评、对照体系打分、撰写评价报告等八个步骤。</w:t>
      </w:r>
    </w:p>
    <w:p w14:paraId="4AEE9EEA">
      <w:pPr>
        <w:widowControl/>
        <w:spacing w:line="560" w:lineRule="exact"/>
        <w:ind w:firstLine="640" w:firstLineChars="200"/>
        <w:jc w:val="left"/>
        <w:rPr>
          <w:rFonts w:hint="default" w:ascii="仿宋" w:hAnsi="仿宋" w:eastAsia="仿宋"/>
          <w:sz w:val="32"/>
          <w:szCs w:val="32"/>
        </w:rPr>
      </w:pPr>
      <w:r>
        <w:rPr>
          <w:rFonts w:hint="default" w:ascii="仿宋" w:hAnsi="仿宋" w:eastAsia="仿宋"/>
          <w:sz w:val="32"/>
          <w:szCs w:val="32"/>
        </w:rPr>
        <w:t>指标体系优先选取最具代表性、最能直接反映产出、效益的核心指标，精简实用。</w:t>
      </w:r>
    </w:p>
    <w:p w14:paraId="61A28EE3">
      <w:pPr>
        <w:widowControl/>
        <w:spacing w:line="560" w:lineRule="exact"/>
        <w:ind w:firstLine="640" w:firstLineChars="200"/>
        <w:jc w:val="left"/>
        <w:rPr>
          <w:lang w:val="en-US" w:eastAsia="zh-CN"/>
        </w:rPr>
      </w:pPr>
      <w:r>
        <w:rPr>
          <w:rFonts w:hint="default" w:ascii="仿宋" w:hAnsi="仿宋" w:eastAsia="仿宋"/>
          <w:sz w:val="32"/>
          <w:szCs w:val="32"/>
        </w:rPr>
        <w:t>通过对照指标体系组织考评，逐条分析打分并形成初步结论。绩效评价结果实施百分制和四级分类：90（含）-100分为优、80（含）-90分为良、60（含）-80分为中、60分以下为差。</w:t>
      </w:r>
    </w:p>
    <w:p w14:paraId="1362914E">
      <w:pPr>
        <w:pStyle w:val="8"/>
        <w:rPr>
          <w:rFonts w:hint="default" w:eastAsia="宋体"/>
          <w:lang w:val="en-US" w:eastAsia="zh-CN"/>
        </w:rPr>
      </w:pPr>
    </w:p>
    <w:p w14:paraId="33A2C8DC">
      <w:pPr>
        <w:pStyle w:val="8"/>
        <w:ind w:firstLine="640" w:firstLineChars="200"/>
        <w:rPr>
          <w:rFonts w:ascii="仿宋_GB2312" w:eastAsia="仿宋_GB2312"/>
          <w:sz w:val="32"/>
          <w:szCs w:val="32"/>
        </w:rPr>
      </w:pPr>
    </w:p>
    <w:p w14:paraId="738F4466">
      <w:pPr>
        <w:pStyle w:val="8"/>
        <w:ind w:firstLine="640" w:firstLineChars="200"/>
        <w:rPr>
          <w:rFonts w:ascii="仿宋_GB2312" w:eastAsia="仿宋_GB2312"/>
          <w:sz w:val="32"/>
          <w:szCs w:val="32"/>
        </w:rPr>
      </w:pPr>
    </w:p>
    <w:p w14:paraId="7630F7DF">
      <w:pPr>
        <w:bidi w:val="0"/>
      </w:pPr>
    </w:p>
    <w:p w14:paraId="4828CC20">
      <w:pPr>
        <w:bidi w:val="0"/>
      </w:pPr>
    </w:p>
    <w:p w14:paraId="6FC830D1">
      <w:pPr>
        <w:bidi w:val="0"/>
      </w:pPr>
    </w:p>
    <w:p w14:paraId="20338FDF">
      <w:pPr>
        <w:bidi w:val="0"/>
      </w:pPr>
    </w:p>
    <w:p w14:paraId="56590D70">
      <w:pPr>
        <w:bidi w:val="0"/>
      </w:pPr>
    </w:p>
    <w:p w14:paraId="5F50709B">
      <w:pPr>
        <w:bidi w:val="0"/>
      </w:pPr>
    </w:p>
    <w:p w14:paraId="3DE0BFFF">
      <w:pPr>
        <w:bidi w:val="0"/>
      </w:pPr>
    </w:p>
    <w:p w14:paraId="69DF9FA7">
      <w:pPr>
        <w:bidi w:val="0"/>
      </w:pPr>
    </w:p>
    <w:p w14:paraId="2F4C9117">
      <w:pPr>
        <w:bidi w:val="0"/>
      </w:pPr>
    </w:p>
    <w:p w14:paraId="67063CC8">
      <w:pPr>
        <w:bidi w:val="0"/>
      </w:pPr>
    </w:p>
    <w:p w14:paraId="4A208C09">
      <w:pPr>
        <w:bidi w:val="0"/>
      </w:pPr>
    </w:p>
    <w:p w14:paraId="5C70B5D2">
      <w:pPr>
        <w:bidi w:val="0"/>
      </w:pPr>
    </w:p>
    <w:p w14:paraId="1CA0025F">
      <w:pPr>
        <w:bidi w:val="0"/>
      </w:pPr>
    </w:p>
    <w:p w14:paraId="7099FA75">
      <w:pPr>
        <w:bidi w:val="0"/>
      </w:pPr>
    </w:p>
    <w:p w14:paraId="19E8E1C4">
      <w:pPr>
        <w:bidi w:val="0"/>
      </w:pPr>
    </w:p>
    <w:p w14:paraId="49F27A5D">
      <w:pPr>
        <w:bidi w:val="0"/>
      </w:pPr>
    </w:p>
    <w:p w14:paraId="2A82F8F0">
      <w:pPr>
        <w:bidi w:val="0"/>
      </w:pPr>
    </w:p>
    <w:p w14:paraId="6D939BAB">
      <w:pPr>
        <w:bidi w:val="0"/>
      </w:pPr>
    </w:p>
    <w:p w14:paraId="581FA061">
      <w:pPr>
        <w:bidi w:val="0"/>
      </w:pPr>
    </w:p>
    <w:p w14:paraId="636EC124">
      <w:pPr>
        <w:bidi w:val="0"/>
      </w:pPr>
    </w:p>
    <w:p w14:paraId="2D9BC233">
      <w:pPr>
        <w:bidi w:val="0"/>
      </w:pPr>
    </w:p>
    <w:p w14:paraId="267C3BE3">
      <w:pPr>
        <w:bidi w:val="0"/>
      </w:pPr>
    </w:p>
    <w:p w14:paraId="0013B5E8">
      <w:pPr>
        <w:bidi w:val="0"/>
      </w:pPr>
    </w:p>
    <w:p w14:paraId="600987D5">
      <w:pPr>
        <w:bidi w:val="0"/>
      </w:pPr>
    </w:p>
    <w:p w14:paraId="5BE5BAE2">
      <w:pPr>
        <w:pStyle w:val="4"/>
      </w:pPr>
    </w:p>
    <w:p w14:paraId="406A26FE">
      <w:pPr>
        <w:pStyle w:val="4"/>
      </w:pPr>
    </w:p>
    <w:p w14:paraId="0B01CBF4">
      <w:pPr>
        <w:pStyle w:val="4"/>
      </w:pPr>
    </w:p>
    <w:p w14:paraId="6B56DCAE">
      <w:pPr>
        <w:bidi w:val="0"/>
      </w:pPr>
    </w:p>
    <w:p w14:paraId="39E345B5">
      <w:pPr>
        <w:bidi w:val="0"/>
      </w:pPr>
    </w:p>
    <w:p w14:paraId="746D5D91">
      <w:pPr>
        <w:bidi w:val="0"/>
      </w:pPr>
    </w:p>
    <w:p w14:paraId="73A70123">
      <w:pPr>
        <w:pStyle w:val="4"/>
      </w:pPr>
    </w:p>
    <w:p w14:paraId="42A2130B">
      <w:pPr>
        <w:bidi w:val="0"/>
      </w:pPr>
    </w:p>
    <w:p w14:paraId="05E2C882">
      <w:pPr>
        <w:bidi w:val="0"/>
      </w:pPr>
    </w:p>
    <w:p w14:paraId="5D995B36">
      <w:pPr>
        <w:bidi w:val="0"/>
        <w:ind w:firstLine="228" w:firstLineChars="0"/>
        <w:jc w:val="left"/>
      </w:pPr>
    </w:p>
    <w:tbl>
      <w:tblPr>
        <w:tblStyle w:val="9"/>
        <w:tblW w:w="5000" w:type="pct"/>
        <w:tblInd w:w="0" w:type="dxa"/>
        <w:shd w:val="clear" w:color="auto" w:fill="auto"/>
        <w:tblLayout w:type="autofit"/>
        <w:tblCellMar>
          <w:top w:w="0" w:type="dxa"/>
          <w:left w:w="108" w:type="dxa"/>
          <w:bottom w:w="0" w:type="dxa"/>
          <w:right w:w="108" w:type="dxa"/>
        </w:tblCellMar>
      </w:tblPr>
      <w:tblGrid>
        <w:gridCol w:w="436"/>
        <w:gridCol w:w="2279"/>
        <w:gridCol w:w="5807"/>
      </w:tblGrid>
      <w:tr w14:paraId="0BF13F6F">
        <w:tblPrEx>
          <w:shd w:val="clear" w:color="auto" w:fill="auto"/>
          <w:tblCellMar>
            <w:top w:w="0" w:type="dxa"/>
            <w:left w:w="108" w:type="dxa"/>
            <w:bottom w:w="0" w:type="dxa"/>
            <w:right w:w="108" w:type="dxa"/>
          </w:tblCellMar>
        </w:tblPrEx>
        <w:trPr>
          <w:trHeight w:val="270" w:hRule="atLeast"/>
        </w:trPr>
        <w:tc>
          <w:tcPr>
            <w:tcW w:w="5000" w:type="pct"/>
            <w:gridSpan w:val="3"/>
            <w:tcBorders>
              <w:top w:val="nil"/>
              <w:left w:val="nil"/>
              <w:bottom w:val="nil"/>
              <w:right w:val="nil"/>
            </w:tcBorders>
            <w:shd w:val="clear" w:color="auto" w:fill="auto"/>
            <w:noWrap/>
            <w:vAlign w:val="center"/>
          </w:tcPr>
          <w:p w14:paraId="4B5287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附件1：</w:t>
            </w:r>
          </w:p>
        </w:tc>
      </w:tr>
      <w:tr w14:paraId="754BD43A">
        <w:tblPrEx>
          <w:tblCellMar>
            <w:top w:w="0" w:type="dxa"/>
            <w:left w:w="108" w:type="dxa"/>
            <w:bottom w:w="0" w:type="dxa"/>
            <w:right w:w="108" w:type="dxa"/>
          </w:tblCellMar>
        </w:tblPrEx>
        <w:trPr>
          <w:trHeight w:val="559" w:hRule="atLeast"/>
        </w:trPr>
        <w:tc>
          <w:tcPr>
            <w:tcW w:w="5000" w:type="pct"/>
            <w:gridSpan w:val="3"/>
            <w:tcBorders>
              <w:top w:val="nil"/>
              <w:left w:val="nil"/>
              <w:bottom w:val="nil"/>
              <w:right w:val="nil"/>
            </w:tcBorders>
            <w:shd w:val="clear" w:color="auto" w:fill="auto"/>
            <w:noWrap/>
            <w:vAlign w:val="center"/>
          </w:tcPr>
          <w:p w14:paraId="04DB48E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南京市卫生健康委员会内设机构职能表</w:t>
            </w:r>
          </w:p>
        </w:tc>
      </w:tr>
      <w:tr w14:paraId="5B0C182C">
        <w:tblPrEx>
          <w:tblCellMar>
            <w:top w:w="0" w:type="dxa"/>
            <w:left w:w="108" w:type="dxa"/>
            <w:bottom w:w="0" w:type="dxa"/>
            <w:right w:w="108" w:type="dxa"/>
          </w:tblCellMar>
        </w:tblPrEx>
        <w:trPr>
          <w:trHeight w:val="27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81510">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序号</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119B9">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处室名称</w:t>
            </w:r>
          </w:p>
        </w:tc>
        <w:tc>
          <w:tcPr>
            <w:tcW w:w="3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BCD8B">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承担的具体职能</w:t>
            </w:r>
          </w:p>
        </w:tc>
      </w:tr>
      <w:tr w14:paraId="68E892C7">
        <w:tblPrEx>
          <w:tblCellMar>
            <w:top w:w="0" w:type="dxa"/>
            <w:left w:w="108" w:type="dxa"/>
            <w:bottom w:w="0" w:type="dxa"/>
            <w:right w:w="108" w:type="dxa"/>
          </w:tblCellMar>
        </w:tblPrEx>
        <w:trPr>
          <w:trHeight w:val="10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5E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B75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办公室（对外合作交流处）</w:t>
            </w:r>
          </w:p>
        </w:tc>
        <w:tc>
          <w:tcPr>
            <w:tcW w:w="3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408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机关日常运转工作；承担文电、会务、机要、档案、督查、重要文稿起草、机关后勤、保密、政务公开、建议提案办理等工作；组织指导卫生健康工作领域的对外交流与合作、对外宣传、援外工作，开展与港澳台地区的交流与合作；承担机关和直属单位外事管理工作。</w:t>
            </w:r>
          </w:p>
        </w:tc>
      </w:tr>
      <w:tr w14:paraId="7407EE9A">
        <w:tblPrEx>
          <w:tblCellMar>
            <w:top w:w="0" w:type="dxa"/>
            <w:left w:w="108" w:type="dxa"/>
            <w:bottom w:w="0" w:type="dxa"/>
            <w:right w:w="108" w:type="dxa"/>
          </w:tblCellMar>
        </w:tblPrEx>
        <w:trPr>
          <w:trHeight w:val="10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26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C4B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组织人事处</w:t>
            </w:r>
          </w:p>
        </w:tc>
        <w:tc>
          <w:tcPr>
            <w:tcW w:w="3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7C4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拟订全市卫生健康人才发展政策、规划并组织实施；指导全市卫生健康人才队伍建设；负责机关和直属单位的机构编制、干部人事、劳动工资等工作；会同有关部门拟订各类卫生健康专业技术人员资格标准并组织实施；组织指导卫生健康管理干部培训工作。</w:t>
            </w:r>
          </w:p>
        </w:tc>
      </w:tr>
      <w:tr w14:paraId="6BFE2C6D">
        <w:tblPrEx>
          <w:tblCellMar>
            <w:top w:w="0" w:type="dxa"/>
            <w:left w:w="108" w:type="dxa"/>
            <w:bottom w:w="0" w:type="dxa"/>
            <w:right w:w="108" w:type="dxa"/>
          </w:tblCellMar>
        </w:tblPrEx>
        <w:trPr>
          <w:trHeight w:val="10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D4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0B1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规划发展与信息化处</w:t>
            </w:r>
          </w:p>
        </w:tc>
        <w:tc>
          <w:tcPr>
            <w:tcW w:w="3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3BC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拟订卫生健康事业发展中长期规划，统筹规划与协调优化全市医疗卫生资源配置工作；指导全市卫生健康事业发展规划的编制与实施；指导卫生健康服务体系建设；组织与指导卫生健康信息化建设；组织开展卫生健康统计工作；承担市“互联网+医疗健康”发展工作。</w:t>
            </w:r>
          </w:p>
        </w:tc>
      </w:tr>
      <w:tr w14:paraId="1A62F310">
        <w:tblPrEx>
          <w:tblCellMar>
            <w:top w:w="0" w:type="dxa"/>
            <w:left w:w="108" w:type="dxa"/>
            <w:bottom w:w="0" w:type="dxa"/>
            <w:right w:w="108" w:type="dxa"/>
          </w:tblCellMar>
        </w:tblPrEx>
        <w:trPr>
          <w:trHeight w:val="16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35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69B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财务处(审计处）</w:t>
            </w:r>
          </w:p>
        </w:tc>
        <w:tc>
          <w:tcPr>
            <w:tcW w:w="3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794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拟定全市卫生健康经济政策；承担机关和预算管理单位预决算、财务、资产管理、政府采购；提出各类卫生健康专项资金安排建议并监督使用；负责市级卫生总费用核算工作；提出全市医疗服务价格政策建议；组织实施大型医用装备配置管理；组织指导直属单位后勤管理工作，协调指导直属单位基本建设；牵头机关健康扶贫工作；负责内部审计工作。</w:t>
            </w:r>
          </w:p>
        </w:tc>
      </w:tr>
      <w:tr w14:paraId="55F3620D">
        <w:tblPrEx>
          <w:tblCellMar>
            <w:top w:w="0" w:type="dxa"/>
            <w:left w:w="108" w:type="dxa"/>
            <w:bottom w:w="0" w:type="dxa"/>
            <w:right w:w="108" w:type="dxa"/>
          </w:tblCellMar>
        </w:tblPrEx>
        <w:trPr>
          <w:trHeight w:val="81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41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6B8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行政审批服务处（法规处）</w:t>
            </w:r>
          </w:p>
        </w:tc>
        <w:tc>
          <w:tcPr>
            <w:tcW w:w="3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9B7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组织起草卫生健康地方性法规、规章草案和地方标准；承担规范性文件的合法性审查工作，承担行政复议、行政应诉等工作；负责卫生健康行政审批工作，并限时办结。</w:t>
            </w:r>
          </w:p>
        </w:tc>
      </w:tr>
      <w:tr w14:paraId="6D02F0E8">
        <w:tblPrEx>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D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F97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体制改革处</w:t>
            </w:r>
          </w:p>
        </w:tc>
        <w:tc>
          <w:tcPr>
            <w:tcW w:w="3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43E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承担市深化医改暨市级综合医改试点工作领导小组办公室的日常工作；组织推进公立医院综合改革。</w:t>
            </w:r>
          </w:p>
        </w:tc>
      </w:tr>
      <w:tr w14:paraId="21744114">
        <w:tblPrEx>
          <w:tblCellMar>
            <w:top w:w="0" w:type="dxa"/>
            <w:left w:w="108" w:type="dxa"/>
            <w:bottom w:w="0" w:type="dxa"/>
            <w:right w:w="108" w:type="dxa"/>
          </w:tblCellMar>
        </w:tblPrEx>
        <w:trPr>
          <w:trHeight w:val="135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B6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F3E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健康促进处（健康南京建设领导小组办公室、市爱国卫生运动委员会办公室）</w:t>
            </w:r>
          </w:p>
        </w:tc>
        <w:tc>
          <w:tcPr>
            <w:tcW w:w="3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D8D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拟订健康南京建设职责分工方案、年度计划和相关制度，并协调组织实施；组织对全市各地区、各部门推进健康南京建设工作的指导与督查、考核和评估；开展重大问题调研；组织开展卫生城镇、健康城镇的创建和考核评价工作；承担健康南京建设领导小组办公室、市爱国卫生运动委员会办公室的日常工作。</w:t>
            </w:r>
          </w:p>
        </w:tc>
      </w:tr>
      <w:tr w14:paraId="498A45F2">
        <w:tblPrEx>
          <w:tblCellMar>
            <w:top w:w="0" w:type="dxa"/>
            <w:left w:w="108" w:type="dxa"/>
            <w:bottom w:w="0" w:type="dxa"/>
            <w:right w:w="108" w:type="dxa"/>
          </w:tblCellMar>
        </w:tblPrEx>
        <w:trPr>
          <w:trHeight w:val="16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C7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0CA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疾病预防控制处（食品安全标准与监测评估处、市政府血吸虫病地方病防治领导小组办公室）</w:t>
            </w:r>
          </w:p>
        </w:tc>
        <w:tc>
          <w:tcPr>
            <w:tcW w:w="3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887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拟订全市重大疾病防治规划、免疫规划、严重危害人民健康的公共卫生问题的干预措施并组织实施，完善疾病预防控制体系，防止和控制疾病的发生和疫情的蔓延；承担法定报告传染病疫情信息发布工作；开展食品安全风险监测、评估和交流；承担食品安全企业标准备案工作；承担市政府血吸虫病地方病防治领导小组办公室和市政府艾滋病防治工作委员会办公室、市精神卫生工作联席会议办公室的日常工作。</w:t>
            </w:r>
          </w:p>
        </w:tc>
      </w:tr>
      <w:tr w14:paraId="19B16D15">
        <w:tblPrEx>
          <w:tblCellMar>
            <w:top w:w="0" w:type="dxa"/>
            <w:left w:w="108" w:type="dxa"/>
            <w:bottom w:w="0" w:type="dxa"/>
            <w:right w:w="108" w:type="dxa"/>
          </w:tblCellMar>
        </w:tblPrEx>
        <w:trPr>
          <w:trHeight w:val="135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4F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B9B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医政医管处</w:t>
            </w:r>
          </w:p>
        </w:tc>
        <w:tc>
          <w:tcPr>
            <w:tcW w:w="3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E8D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督实施国家医疗机构及医务人员、医疗技术应用、医疗质量和安全、医疗服务、采供血机构管理等行业管理政策规范、标准；拟订医疗技术、医疗质量、医疗服务等地方性规范、标准并组织实施；承担推进护理、康复事业发展工作；承担市平安医院创建活动领导小组办公室的日常工作。</w:t>
            </w:r>
          </w:p>
        </w:tc>
      </w:tr>
      <w:tr w14:paraId="34A7688A">
        <w:tblPrEx>
          <w:tblCellMar>
            <w:top w:w="0" w:type="dxa"/>
            <w:left w:w="108" w:type="dxa"/>
            <w:bottom w:w="0" w:type="dxa"/>
            <w:right w:w="108" w:type="dxa"/>
          </w:tblCellMar>
        </w:tblPrEx>
        <w:trPr>
          <w:trHeight w:val="81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97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C27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基层卫生健康处</w:t>
            </w:r>
          </w:p>
        </w:tc>
        <w:tc>
          <w:tcPr>
            <w:tcW w:w="3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E49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拟订基层卫生健康政策、地方标准和规范并组织实施，指导全市基层卫生健康服务体系建设和基层医疗卫生机构能力评价工作，指导家庭医生签约服务、基层基本公共卫生服务和乡村医生相关管理工作。</w:t>
            </w:r>
          </w:p>
        </w:tc>
      </w:tr>
      <w:tr w14:paraId="03551B52">
        <w:tblPrEx>
          <w:tblCellMar>
            <w:top w:w="0" w:type="dxa"/>
            <w:left w:w="108" w:type="dxa"/>
            <w:bottom w:w="0" w:type="dxa"/>
            <w:right w:w="108" w:type="dxa"/>
          </w:tblCellMar>
        </w:tblPrEx>
        <w:trPr>
          <w:trHeight w:val="10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1B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1A7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卫生应急办公室（突发公共卫生事件应急指挥中心）</w:t>
            </w:r>
          </w:p>
        </w:tc>
        <w:tc>
          <w:tcPr>
            <w:tcW w:w="3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594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担突发公共卫生事件的预防控制和紧急医学救援工作；组织编制专项预案，承担预案演练的组织实施和指导监督工作；指导卫生应急体系和能力建设；发布突发公共卫生事件应急处置信息；负责指导安全保卫、安全生产、消防安全工作。</w:t>
            </w:r>
          </w:p>
        </w:tc>
      </w:tr>
      <w:tr w14:paraId="71B53273">
        <w:tblPrEx>
          <w:tblCellMar>
            <w:top w:w="0" w:type="dxa"/>
            <w:left w:w="108" w:type="dxa"/>
            <w:bottom w:w="0" w:type="dxa"/>
            <w:right w:w="108" w:type="dxa"/>
          </w:tblCellMar>
        </w:tblPrEx>
        <w:trPr>
          <w:trHeight w:val="135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8E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893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科技教育处</w:t>
            </w:r>
          </w:p>
        </w:tc>
        <w:tc>
          <w:tcPr>
            <w:tcW w:w="3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82D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拟订卫生健康科技发展规划及相关政策；组织、指导卫生健康科技创新与成果转移转化体系建设；组织实施卫生健康科研项目、新技术评估管理和适宜技术推广；承担与人体健康相关的实验室生物安全监督工作；组织开展住院医师、专科医师培训等毕业后医学教育和继续医学教育工作。</w:t>
            </w:r>
          </w:p>
        </w:tc>
      </w:tr>
      <w:tr w14:paraId="627946DC">
        <w:tblPrEx>
          <w:tblCellMar>
            <w:top w:w="0" w:type="dxa"/>
            <w:left w:w="108" w:type="dxa"/>
            <w:bottom w:w="0" w:type="dxa"/>
            <w:right w:w="108" w:type="dxa"/>
          </w:tblCellMar>
        </w:tblPrEx>
        <w:trPr>
          <w:trHeight w:val="10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4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013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综合监督处</w:t>
            </w:r>
          </w:p>
        </w:tc>
        <w:tc>
          <w:tcPr>
            <w:tcW w:w="3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284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担公共卫生、医疗卫生等监督工作，查处医疗服务市场违法行为；组织开展职业卫生、放射卫生、学校卫生、公共场所卫生、饮用水卫生、传染病防治和健康产业等监督检查；完善综合监督体系，指导规范执法行为；推进全市卫生健康诚信体系建设。</w:t>
            </w:r>
          </w:p>
        </w:tc>
      </w:tr>
      <w:tr w14:paraId="6DB061D1">
        <w:tblPrEx>
          <w:tblCellMar>
            <w:top w:w="0" w:type="dxa"/>
            <w:left w:w="108" w:type="dxa"/>
            <w:bottom w:w="0" w:type="dxa"/>
            <w:right w:w="108" w:type="dxa"/>
          </w:tblCellMar>
        </w:tblPrEx>
        <w:trPr>
          <w:trHeight w:val="135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9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C75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药物政策与基本药物制度处</w:t>
            </w:r>
          </w:p>
        </w:tc>
        <w:tc>
          <w:tcPr>
            <w:tcW w:w="3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27B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贯彻落实国家药物政策和国家基本药物制度，执行国家、省基本药物目录，拟订全市基本药物配备使用的政策措施；组织开展药品使用监测、临床综合评价和短缺药品监测预警，制订短缺药品供应保障政策并协调实施；健全药师继续教育制度，指导医疗机构药学服务工作；提出药品价格政策和基本药物目录内药品生产鼓励扶持政策的建议。</w:t>
            </w:r>
          </w:p>
        </w:tc>
      </w:tr>
      <w:tr w14:paraId="5B3962F3">
        <w:tblPrEx>
          <w:tblCellMar>
            <w:top w:w="0" w:type="dxa"/>
            <w:left w:w="108" w:type="dxa"/>
            <w:bottom w:w="0" w:type="dxa"/>
            <w:right w:w="108" w:type="dxa"/>
          </w:tblCellMar>
        </w:tblPrEx>
        <w:trPr>
          <w:trHeight w:val="81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2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CC6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老龄健康处</w:t>
            </w:r>
          </w:p>
        </w:tc>
        <w:tc>
          <w:tcPr>
            <w:tcW w:w="3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24D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组织拟订并协调落实推进健康老龄化的政策措施；组织拟订全市医养结合的政策、标准和规范，建立和完善老年健康服务体系，承担老年疾病防治、老年人医疗照护、老年人心理健康与关怀服务等老年健康工作。</w:t>
            </w:r>
          </w:p>
        </w:tc>
      </w:tr>
      <w:tr w14:paraId="2B574DC5">
        <w:tblPrEx>
          <w:tblCellMar>
            <w:top w:w="0" w:type="dxa"/>
            <w:left w:w="108" w:type="dxa"/>
            <w:bottom w:w="0" w:type="dxa"/>
            <w:right w:w="108" w:type="dxa"/>
          </w:tblCellMar>
        </w:tblPrEx>
        <w:trPr>
          <w:trHeight w:val="81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FED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5BB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妇幼健康处</w:t>
            </w:r>
          </w:p>
        </w:tc>
        <w:tc>
          <w:tcPr>
            <w:tcW w:w="3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7F5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拟订全市妇幼卫生健康政策、标准和规范并组织实施；推进妇幼健康服务体系建设；指导妇幼卫生、母婴健康安全保障、出生缺陷防治、婴幼儿早期发展工作；规范人类辅助生殖技术和避孕药具管理。</w:t>
            </w:r>
          </w:p>
        </w:tc>
      </w:tr>
      <w:tr w14:paraId="4EC3F0AD">
        <w:tblPrEx>
          <w:tblCellMar>
            <w:top w:w="0" w:type="dxa"/>
            <w:left w:w="108" w:type="dxa"/>
            <w:bottom w:w="0" w:type="dxa"/>
            <w:right w:w="108" w:type="dxa"/>
          </w:tblCellMar>
        </w:tblPrEx>
        <w:trPr>
          <w:trHeight w:val="81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6F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22C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职业健康处</w:t>
            </w:r>
          </w:p>
        </w:tc>
        <w:tc>
          <w:tcPr>
            <w:tcW w:w="3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93A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拟订全市职业卫生、放射卫生相关政策、地方标准并组织实施；开展重点职业病监测、专项调查、职业健康风险评估和职业人群健康管理工作；承担职业病防治管理工作。</w:t>
            </w:r>
          </w:p>
        </w:tc>
      </w:tr>
      <w:tr w14:paraId="20B56B36">
        <w:tblPrEx>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EB2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88D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人口监测与家庭发展处</w:t>
            </w:r>
          </w:p>
        </w:tc>
        <w:tc>
          <w:tcPr>
            <w:tcW w:w="3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720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承担全市人口监测预警工作，提出人口与家庭发展相关政策建议，建立和完善计划生育特殊家庭扶助制度。</w:t>
            </w:r>
          </w:p>
        </w:tc>
      </w:tr>
      <w:tr w14:paraId="1067ACB1">
        <w:tblPrEx>
          <w:tblCellMar>
            <w:top w:w="0" w:type="dxa"/>
            <w:left w:w="108" w:type="dxa"/>
            <w:bottom w:w="0" w:type="dxa"/>
            <w:right w:w="108" w:type="dxa"/>
          </w:tblCellMar>
        </w:tblPrEx>
        <w:trPr>
          <w:trHeight w:val="81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8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C28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宣传处</w:t>
            </w:r>
          </w:p>
        </w:tc>
        <w:tc>
          <w:tcPr>
            <w:tcW w:w="3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892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组织开展卫生健康宣传、健康教育、健康促进活动，承担卫生健康科学普及、新闻和信息发布等工作；具体承担意识形态管理、网络舆情、网络安全应对处置工作。</w:t>
            </w:r>
          </w:p>
        </w:tc>
      </w:tr>
      <w:tr w14:paraId="22C53645">
        <w:tblPrEx>
          <w:tblCellMar>
            <w:top w:w="0" w:type="dxa"/>
            <w:left w:w="108" w:type="dxa"/>
            <w:bottom w:w="0" w:type="dxa"/>
            <w:right w:w="108" w:type="dxa"/>
          </w:tblCellMar>
        </w:tblPrEx>
        <w:trPr>
          <w:trHeight w:val="27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BE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CFA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中医处</w:t>
            </w:r>
          </w:p>
        </w:tc>
        <w:tc>
          <w:tcPr>
            <w:tcW w:w="3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137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与起草中医药事业发展的地方性法规、规章草案并监督执行；拟订中医药事业中长期发展规划、计划并组织实施；负责全市中医药专项资金、基本建设及国有资产等管理；参与拟订中医药医疗服务项目、价格标准、基本医疗保险等相关政策及管理办法；承担市中医药工作领导小组办公室的日常工作；指导并监督中医医疗机构及其医务人员、医疗质量、医疗服务等管理政策规范、标准实施；指导综合医院、妇幼保健机构、专科医院以及基层医疗卫生机构中的中医药工作；拟订中医药科学研究、技术开发规划并组织实施；指导中医药科研条件和能力建设，促进中医药科技成果转化、应用和推广；负责中医药师承教育、毕业后教育、继续教育和相关人才培训工作。</w:t>
            </w:r>
          </w:p>
        </w:tc>
      </w:tr>
      <w:tr w14:paraId="4C22F499">
        <w:tblPrEx>
          <w:shd w:val="clear" w:color="auto" w:fill="auto"/>
          <w:tblCellMar>
            <w:top w:w="0" w:type="dxa"/>
            <w:left w:w="108" w:type="dxa"/>
            <w:bottom w:w="0" w:type="dxa"/>
            <w:right w:w="108" w:type="dxa"/>
          </w:tblCellMar>
        </w:tblPrEx>
        <w:trPr>
          <w:trHeight w:val="189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2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750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信访与行风建设处</w:t>
            </w:r>
          </w:p>
        </w:tc>
        <w:tc>
          <w:tcPr>
            <w:tcW w:w="3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A6E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卫生行风工作建设，查处违反行风规定的行为，履行对医疗卫生机构卫生行风指导、监督责任；负责委信访事项受理、督查、督办及考核工作，制定完善有关信访工作的责任制、目标考核和各类规章制度；承担满意度调查评估工作；负责受理和处理人民群众提出的咨询服务、投诉、建议和求助；负责对12345工单办理工作的协调、指导、督办、考核等工作；负责社会治安综合治理和组织落实维护稳定的各项责任制度，排查不稳定因素，对重大不稳定问题进行交办督办。</w:t>
            </w:r>
          </w:p>
        </w:tc>
      </w:tr>
      <w:tr w14:paraId="6C044BA4">
        <w:tblPrEx>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B2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BB2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公立医院管理处</w:t>
            </w:r>
          </w:p>
        </w:tc>
        <w:tc>
          <w:tcPr>
            <w:tcW w:w="3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D1A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承担市政府公立医院管理委员会的日常事务，拟订公立医院运行监管、绩效评价和考核办法并组织实施；负责直属公立医院院长年薪制工作。</w:t>
            </w:r>
          </w:p>
        </w:tc>
      </w:tr>
      <w:tr w14:paraId="4EE759C7">
        <w:tblPrEx>
          <w:tblCellMar>
            <w:top w:w="0" w:type="dxa"/>
            <w:left w:w="108" w:type="dxa"/>
            <w:bottom w:w="0" w:type="dxa"/>
            <w:right w:w="108" w:type="dxa"/>
          </w:tblCellMar>
        </w:tblPrEx>
        <w:trPr>
          <w:trHeight w:val="81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B5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96B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市干部保健委员会办公室</w:t>
            </w:r>
          </w:p>
        </w:tc>
        <w:tc>
          <w:tcPr>
            <w:tcW w:w="3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ED9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负责市干部保健委员会确定的保健对象的医疗保健工作；承担重要会议与重大活动的医疗卫生保障工作；负责市级部门有关干部医疗管理工作；承担市干部保健委员会的具体工作。</w:t>
            </w:r>
          </w:p>
        </w:tc>
      </w:tr>
      <w:tr w14:paraId="5A44185D">
        <w:tblPrEx>
          <w:tblCellMar>
            <w:top w:w="0" w:type="dxa"/>
            <w:left w:w="108" w:type="dxa"/>
            <w:bottom w:w="0" w:type="dxa"/>
            <w:right w:w="108" w:type="dxa"/>
          </w:tblCellMar>
        </w:tblPrEx>
        <w:trPr>
          <w:trHeight w:val="10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0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7AF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市老龄工作委员会办公室</w:t>
            </w:r>
          </w:p>
        </w:tc>
        <w:tc>
          <w:tcPr>
            <w:tcW w:w="3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72D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市老龄工作委员会常设办事机构，负责拟订全市老龄工作相关政策，起草有关地方性法规、规章草案并协助组织实施；督促、检查市老龄工作委员会决定事项的落实情况；指导协调老龄宣传工作；负责联系、协调市老龄工作委员会各成员单位。</w:t>
            </w:r>
          </w:p>
        </w:tc>
      </w:tr>
      <w:tr w14:paraId="106393F7">
        <w:tblPrEx>
          <w:tblCellMar>
            <w:top w:w="0" w:type="dxa"/>
            <w:left w:w="108" w:type="dxa"/>
            <w:bottom w:w="0" w:type="dxa"/>
            <w:right w:w="108" w:type="dxa"/>
          </w:tblCellMar>
        </w:tblPrEx>
        <w:trPr>
          <w:trHeight w:val="27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D5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317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机关党委</w:t>
            </w:r>
          </w:p>
        </w:tc>
        <w:tc>
          <w:tcPr>
            <w:tcW w:w="3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0FC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负责机关和直属单位党群工作。</w:t>
            </w:r>
          </w:p>
        </w:tc>
      </w:tr>
      <w:tr w14:paraId="3681D7F5">
        <w:tblPrEx>
          <w:tblCellMar>
            <w:top w:w="0" w:type="dxa"/>
            <w:left w:w="108" w:type="dxa"/>
            <w:bottom w:w="0" w:type="dxa"/>
            <w:right w:w="108" w:type="dxa"/>
          </w:tblCellMar>
        </w:tblPrEx>
        <w:trPr>
          <w:trHeight w:val="27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E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420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离退休干部处</w:t>
            </w:r>
          </w:p>
        </w:tc>
        <w:tc>
          <w:tcPr>
            <w:tcW w:w="3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37C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负责机关离退休干部工作，指导直属单位离退休干部工作。</w:t>
            </w:r>
          </w:p>
        </w:tc>
      </w:tr>
    </w:tbl>
    <w:p w14:paraId="2692611F">
      <w:pPr>
        <w:pStyle w:val="8"/>
        <w:sectPr>
          <w:pgSz w:w="11906" w:h="16838"/>
          <w:pgMar w:top="1440" w:right="1800" w:bottom="1440" w:left="1800" w:header="851" w:footer="992" w:gutter="0"/>
          <w:cols w:space="425" w:num="1"/>
          <w:docGrid w:type="lines" w:linePitch="312" w:charSpace="0"/>
        </w:sectPr>
      </w:pPr>
    </w:p>
    <w:p w14:paraId="0D0E7378">
      <w:pPr>
        <w:pStyle w:val="8"/>
        <w:rPr>
          <w:rFonts w:hint="eastAsia"/>
          <w:lang w:val="en-US" w:eastAsia="zh-CN"/>
        </w:rPr>
      </w:pPr>
      <w:r>
        <w:rPr>
          <w:rFonts w:hint="eastAsia"/>
          <w:lang w:eastAsia="zh-CN"/>
        </w:rPr>
        <w:t>附件</w:t>
      </w:r>
      <w:r>
        <w:rPr>
          <w:rFonts w:hint="eastAsia"/>
          <w:lang w:val="en-US" w:eastAsia="zh-CN"/>
        </w:rPr>
        <w:t>2</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2"/>
        <w:gridCol w:w="1536"/>
        <w:gridCol w:w="2126"/>
        <w:gridCol w:w="1066"/>
        <w:gridCol w:w="780"/>
        <w:gridCol w:w="766"/>
        <w:gridCol w:w="612"/>
        <w:gridCol w:w="1134"/>
        <w:gridCol w:w="5542"/>
      </w:tblGrid>
      <w:tr w14:paraId="078A1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9"/>
            <w:tcBorders>
              <w:top w:val="nil"/>
              <w:left w:val="nil"/>
              <w:bottom w:val="nil"/>
              <w:right w:val="nil"/>
            </w:tcBorders>
            <w:shd w:val="clear" w:color="auto" w:fill="auto"/>
            <w:noWrap/>
            <w:vAlign w:val="center"/>
          </w:tcPr>
          <w:p w14:paraId="30E58E2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南京市卫生健康委员会2023年度部门整体支出绩效综合评价表</w:t>
            </w:r>
          </w:p>
        </w:tc>
      </w:tr>
      <w:tr w14:paraId="09700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36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3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63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21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BE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73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5CA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目标值</w:t>
            </w:r>
          </w:p>
        </w:tc>
        <w:tc>
          <w:tcPr>
            <w:tcW w:w="406" w:type="pct"/>
            <w:tcBorders>
              <w:top w:val="single" w:color="000000" w:sz="4" w:space="0"/>
              <w:left w:val="single" w:color="000000" w:sz="4" w:space="0"/>
              <w:bottom w:val="single" w:color="000000" w:sz="4" w:space="0"/>
              <w:right w:val="nil"/>
            </w:tcBorders>
            <w:shd w:val="clear" w:color="auto" w:fill="auto"/>
            <w:vAlign w:val="center"/>
          </w:tcPr>
          <w:p w14:paraId="056A31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20A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指标解释及评分标准</w:t>
            </w:r>
          </w:p>
        </w:tc>
      </w:tr>
      <w:tr w14:paraId="2C76D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1C21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决策</w:t>
            </w:r>
          </w:p>
          <w:p w14:paraId="07F28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（15分）</w:t>
            </w:r>
          </w:p>
        </w:tc>
        <w:tc>
          <w:tcPr>
            <w:tcW w:w="13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0FA7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计划制定</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43F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工作计划制定健全性</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5F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8F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48F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健全</w:t>
            </w:r>
          </w:p>
        </w:tc>
        <w:tc>
          <w:tcPr>
            <w:tcW w:w="406" w:type="pct"/>
            <w:tcBorders>
              <w:top w:val="single" w:color="000000" w:sz="4" w:space="0"/>
              <w:left w:val="single" w:color="000000" w:sz="4" w:space="0"/>
              <w:bottom w:val="single" w:color="000000" w:sz="4" w:space="0"/>
              <w:right w:val="nil"/>
            </w:tcBorders>
            <w:shd w:val="clear" w:color="auto" w:fill="auto"/>
            <w:vAlign w:val="center"/>
          </w:tcPr>
          <w:p w14:paraId="389F41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健全</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56A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①部门具有年度工作计划得50%权重分，如不符扣除相应50%权重分的1/3；②再根据年度工作计划对总体目标、计划实施内容、时间安排、资金安排、人员安排有明确安排，则分别得剩余权重分的1/5。</w:t>
            </w:r>
          </w:p>
        </w:tc>
      </w:tr>
      <w:tr w14:paraId="674B8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F94BD">
            <w:pPr>
              <w:jc w:val="center"/>
              <w:rPr>
                <w:rFonts w:hint="eastAsia" w:ascii="宋体" w:hAnsi="宋体" w:eastAsia="宋体" w:cs="宋体"/>
                <w:i w:val="0"/>
                <w:iCs w:val="0"/>
                <w:color w:val="000000"/>
                <w:sz w:val="18"/>
                <w:szCs w:val="18"/>
                <w:u w:val="none"/>
              </w:rPr>
            </w:pPr>
          </w:p>
        </w:tc>
        <w:tc>
          <w:tcPr>
            <w:tcW w:w="1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DDB9F">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F7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中长期规划制定健全性</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B6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B8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1FC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健全</w:t>
            </w:r>
          </w:p>
        </w:tc>
        <w:tc>
          <w:tcPr>
            <w:tcW w:w="406" w:type="pct"/>
            <w:tcBorders>
              <w:top w:val="single" w:color="000000" w:sz="4" w:space="0"/>
              <w:left w:val="single" w:color="000000" w:sz="4" w:space="0"/>
              <w:bottom w:val="nil"/>
              <w:right w:val="nil"/>
            </w:tcBorders>
            <w:shd w:val="clear" w:color="auto" w:fill="auto"/>
            <w:vAlign w:val="center"/>
          </w:tcPr>
          <w:p w14:paraId="4BC025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健全</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AAB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部门具有长期战略规划得40%权重分，再根据长期战略规划是否对①部门总体中长远目标（占20%权重分）；②部门中长远规划实施内容（占20%权重分）；③时间进度要求（占20%权重分）有明确要求得相应权重分。</w:t>
            </w:r>
          </w:p>
        </w:tc>
      </w:tr>
      <w:tr w14:paraId="0D25B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A68AD">
            <w:pPr>
              <w:jc w:val="center"/>
              <w:rPr>
                <w:rFonts w:hint="eastAsia" w:ascii="宋体" w:hAnsi="宋体" w:eastAsia="宋体" w:cs="宋体"/>
                <w:i w:val="0"/>
                <w:iCs w:val="0"/>
                <w:color w:val="000000"/>
                <w:sz w:val="18"/>
                <w:szCs w:val="18"/>
                <w:u w:val="none"/>
              </w:rPr>
            </w:pPr>
          </w:p>
        </w:tc>
        <w:tc>
          <w:tcPr>
            <w:tcW w:w="13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EE8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目标设定</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69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绩效指标明确性</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B5D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8A8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15A864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明确</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3A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明确</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D8A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指标体系中包含产出指标得40%权重分，再根据长期战略规划是否对①部门总体中长远目标（占20%权重分）；②指标体系中包含效益指标（占20%权重分）；③指标完成值（占20%权重分）有明确要求得相应权重分。</w:t>
            </w:r>
          </w:p>
        </w:tc>
      </w:tr>
      <w:tr w14:paraId="66427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4A2E5">
            <w:pPr>
              <w:jc w:val="center"/>
              <w:rPr>
                <w:rFonts w:hint="eastAsia" w:ascii="宋体" w:hAnsi="宋体" w:eastAsia="宋体" w:cs="宋体"/>
                <w:i w:val="0"/>
                <w:iCs w:val="0"/>
                <w:color w:val="000000"/>
                <w:sz w:val="18"/>
                <w:szCs w:val="18"/>
                <w:u w:val="none"/>
              </w:rPr>
            </w:pPr>
          </w:p>
        </w:tc>
        <w:tc>
          <w:tcPr>
            <w:tcW w:w="1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E5D9B">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09A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绩效目标合理性</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5F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2F2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5BD1E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合理</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E06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合理</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CBE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绩效指标与本单位重点工作匹配（包括直属单位）要求得满分，每出现一项与部门职能（包括直属单位）无关则扣除权重分50%，扣完为止。</w:t>
            </w:r>
          </w:p>
        </w:tc>
      </w:tr>
      <w:tr w14:paraId="1CC10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99F8C">
            <w:pPr>
              <w:jc w:val="center"/>
              <w:rPr>
                <w:rFonts w:hint="eastAsia" w:ascii="宋体" w:hAnsi="宋体" w:eastAsia="宋体" w:cs="宋体"/>
                <w:i w:val="0"/>
                <w:iCs w:val="0"/>
                <w:color w:val="000000"/>
                <w:sz w:val="18"/>
                <w:szCs w:val="18"/>
                <w:u w:val="none"/>
              </w:rPr>
            </w:pPr>
          </w:p>
        </w:tc>
        <w:tc>
          <w:tcPr>
            <w:tcW w:w="13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99AA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5F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预算编制规范性</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F9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46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2EA9A2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规范</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15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规范</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DF5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预算编制指“内部预算编制”，“规范”衡量流程执行。根据实际情况酌情打分，评级“规范”、“较规范”、“一般规范”、“不规范”，分别得权重分100%、75%、50%、0。</w:t>
            </w:r>
          </w:p>
        </w:tc>
      </w:tr>
      <w:tr w14:paraId="40B28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C1318">
            <w:pPr>
              <w:jc w:val="center"/>
              <w:rPr>
                <w:rFonts w:hint="eastAsia" w:ascii="宋体" w:hAnsi="宋体" w:eastAsia="宋体" w:cs="宋体"/>
                <w:i w:val="0"/>
                <w:iCs w:val="0"/>
                <w:color w:val="000000"/>
                <w:sz w:val="18"/>
                <w:szCs w:val="18"/>
                <w:u w:val="none"/>
              </w:rPr>
            </w:pPr>
          </w:p>
        </w:tc>
        <w:tc>
          <w:tcPr>
            <w:tcW w:w="1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9019A">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C1B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预算编制科学性</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951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15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21B7C4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科学</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07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科学</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324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预算编制指“内部预算编制”，“科学”衡量制度设计。根据实际情况酌情打分，评级“科学”、“较科学”、“一般科学”、“不科学”，分别得权重分100%、75%、50%、0。</w:t>
            </w:r>
          </w:p>
        </w:tc>
      </w:tr>
      <w:tr w14:paraId="2C5FB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8EB6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过程</w:t>
            </w:r>
          </w:p>
          <w:p w14:paraId="44DA3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（20分）</w:t>
            </w:r>
          </w:p>
        </w:tc>
        <w:tc>
          <w:tcPr>
            <w:tcW w:w="13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386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FD4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非税收入预算完成率</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F1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DCB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5AE739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D0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60F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非税收入预算完成率=年度非税收入上缴数/年度预算上缴数×100%。达到目标值得满分，每偏离目标值1%，扣除权重分的5%，扣完为止。支出以决算数据为准（以下支出口径相同）。</w:t>
            </w:r>
          </w:p>
        </w:tc>
      </w:tr>
      <w:tr w14:paraId="3CA0F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E4FC2">
            <w:pPr>
              <w:jc w:val="center"/>
              <w:rPr>
                <w:rFonts w:hint="eastAsia" w:ascii="宋体" w:hAnsi="宋体" w:eastAsia="宋体" w:cs="宋体"/>
                <w:i w:val="0"/>
                <w:iCs w:val="0"/>
                <w:color w:val="000000"/>
                <w:sz w:val="18"/>
                <w:szCs w:val="18"/>
                <w:u w:val="none"/>
              </w:rPr>
            </w:pPr>
          </w:p>
        </w:tc>
        <w:tc>
          <w:tcPr>
            <w:tcW w:w="1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72861">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D7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政府采购执行率</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AA3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D21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652613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C63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147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政府采购执行率=年度政府采购金额/年度预算政府采购金额×100%。达到目标值得满分，每偏离目标值1%，扣除权重分的5%，扣完为止。支出以决算数据为准（以下支出口径相同）。</w:t>
            </w:r>
          </w:p>
        </w:tc>
      </w:tr>
      <w:tr w14:paraId="4D493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C30FA">
            <w:pPr>
              <w:jc w:val="center"/>
              <w:rPr>
                <w:rFonts w:hint="eastAsia" w:ascii="宋体" w:hAnsi="宋体" w:eastAsia="宋体" w:cs="宋体"/>
                <w:i w:val="0"/>
                <w:iCs w:val="0"/>
                <w:color w:val="000000"/>
                <w:sz w:val="18"/>
                <w:szCs w:val="18"/>
                <w:u w:val="none"/>
              </w:rPr>
            </w:pPr>
          </w:p>
        </w:tc>
        <w:tc>
          <w:tcPr>
            <w:tcW w:w="1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E700F">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15B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“三公经费”变动率</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159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6A4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3FAE48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19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7B5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经费”控制率=本年度“三公经费”支出总额/本年度“三公经费”预算总额×100%。“三公经费”：年度预算安排的因公出国（境）费、公务车辆购置及运行费和公务招待费。不超支得满分，超支则每偏离目标值1%，扣除权重分的1%，扣完为止。</w:t>
            </w:r>
          </w:p>
        </w:tc>
      </w:tr>
      <w:tr w14:paraId="0D500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AD782">
            <w:pPr>
              <w:jc w:val="center"/>
              <w:rPr>
                <w:rFonts w:hint="eastAsia" w:ascii="宋体" w:hAnsi="宋体" w:eastAsia="宋体" w:cs="宋体"/>
                <w:i w:val="0"/>
                <w:iCs w:val="0"/>
                <w:color w:val="000000"/>
                <w:sz w:val="18"/>
                <w:szCs w:val="18"/>
                <w:u w:val="none"/>
              </w:rPr>
            </w:pPr>
          </w:p>
        </w:tc>
        <w:tc>
          <w:tcPr>
            <w:tcW w:w="1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705F3">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030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公用经费控制率</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601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B62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740E8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F13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E72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公用经费控制率=本年度公用经费支出总额/本年度公用经费预算总额×100%。不超支得满分，超支则每偏离目标值1%，扣除权重分的1%，扣完为止。</w:t>
            </w:r>
          </w:p>
        </w:tc>
      </w:tr>
      <w:tr w14:paraId="582AE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525CE">
            <w:pPr>
              <w:jc w:val="center"/>
              <w:rPr>
                <w:rFonts w:hint="eastAsia" w:ascii="宋体" w:hAnsi="宋体" w:eastAsia="宋体" w:cs="宋体"/>
                <w:i w:val="0"/>
                <w:iCs w:val="0"/>
                <w:color w:val="000000"/>
                <w:sz w:val="18"/>
                <w:szCs w:val="18"/>
                <w:u w:val="none"/>
              </w:rPr>
            </w:pPr>
          </w:p>
        </w:tc>
        <w:tc>
          <w:tcPr>
            <w:tcW w:w="1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7B9A3">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E8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结转结余率</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F6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46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0.97</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6AC30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CC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15.55%</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72C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结转结余率=本年度财政结转结余总额/本年度财政收入总额×100%。每高于目标值5%，扣除权重分的1%，扣完为止。</w:t>
            </w:r>
          </w:p>
        </w:tc>
      </w:tr>
      <w:tr w14:paraId="28648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14973">
            <w:pPr>
              <w:jc w:val="center"/>
              <w:rPr>
                <w:rFonts w:hint="eastAsia" w:ascii="宋体" w:hAnsi="宋体" w:eastAsia="宋体" w:cs="宋体"/>
                <w:i w:val="0"/>
                <w:iCs w:val="0"/>
                <w:color w:val="000000"/>
                <w:sz w:val="18"/>
                <w:szCs w:val="18"/>
                <w:u w:val="none"/>
              </w:rPr>
            </w:pPr>
          </w:p>
        </w:tc>
        <w:tc>
          <w:tcPr>
            <w:tcW w:w="1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54344">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D0A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CA8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23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0.85</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542A16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F6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84.45%</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8A6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部门预算执行率=年度财政支出数/年度财政预算收入×100%。达到目标值得满分，每偏离目标值1%，扣除权重分的5%，扣完为止。支出以决算数据为准（以下支出口径相同）。</w:t>
            </w:r>
          </w:p>
        </w:tc>
      </w:tr>
      <w:tr w14:paraId="38FD1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F3B8E">
            <w:pPr>
              <w:jc w:val="center"/>
              <w:rPr>
                <w:rFonts w:hint="eastAsia" w:ascii="宋体" w:hAnsi="宋体" w:eastAsia="宋体" w:cs="宋体"/>
                <w:i w:val="0"/>
                <w:iCs w:val="0"/>
                <w:color w:val="000000"/>
                <w:sz w:val="18"/>
                <w:szCs w:val="18"/>
                <w:u w:val="none"/>
              </w:rPr>
            </w:pPr>
          </w:p>
        </w:tc>
        <w:tc>
          <w:tcPr>
            <w:tcW w:w="1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F8B25">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ABC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预算调整率</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F7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69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785B1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A51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B91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预算调整率=年度预算外追加数/年度财政预算收入×100%。达到目标值得满分，每偏离目标值1%，扣除权重分的5%，扣完为止。支出以决算数据为准（以下支出口径相同）。</w:t>
            </w:r>
          </w:p>
        </w:tc>
      </w:tr>
      <w:tr w14:paraId="0891C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077DB">
            <w:pPr>
              <w:jc w:val="center"/>
              <w:rPr>
                <w:rFonts w:hint="eastAsia" w:ascii="宋体" w:hAnsi="宋体" w:eastAsia="宋体" w:cs="宋体"/>
                <w:i w:val="0"/>
                <w:iCs w:val="0"/>
                <w:color w:val="000000"/>
                <w:sz w:val="18"/>
                <w:szCs w:val="18"/>
                <w:u w:val="none"/>
              </w:rPr>
            </w:pPr>
          </w:p>
        </w:tc>
        <w:tc>
          <w:tcPr>
            <w:tcW w:w="1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E489E">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CD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支付进度符合率</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A5F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643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2614C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9BA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33.47%</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436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支付进度率=年度实际支出进度/年度预计支出进度×100%。半年度项目支出进度达到50%，得权重分，未达到50%，得50%权重分。</w:t>
            </w:r>
          </w:p>
        </w:tc>
      </w:tr>
      <w:tr w14:paraId="6FB01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7ABC2">
            <w:pPr>
              <w:jc w:val="center"/>
              <w:rPr>
                <w:rFonts w:hint="eastAsia" w:ascii="宋体" w:hAnsi="宋体" w:eastAsia="宋体" w:cs="宋体"/>
                <w:i w:val="0"/>
                <w:iCs w:val="0"/>
                <w:color w:val="000000"/>
                <w:sz w:val="18"/>
                <w:szCs w:val="18"/>
                <w:u w:val="none"/>
              </w:rPr>
            </w:pPr>
          </w:p>
        </w:tc>
        <w:tc>
          <w:tcPr>
            <w:tcW w:w="13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CFD0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预算管理</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9B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预算管理制度健全性</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95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9E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148BD8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健全</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367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健全</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6F3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考察单位是否建立预算管理制度。根据实际情况酌情打分，评级“健全”、“基本健全”、“一般”、“不健全”，分别得权重分100%、75%、50%、0。</w:t>
            </w:r>
          </w:p>
        </w:tc>
      </w:tr>
      <w:tr w14:paraId="3B32A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228EA">
            <w:pPr>
              <w:jc w:val="center"/>
              <w:rPr>
                <w:rFonts w:hint="eastAsia" w:ascii="宋体" w:hAnsi="宋体" w:eastAsia="宋体" w:cs="宋体"/>
                <w:i w:val="0"/>
                <w:iCs w:val="0"/>
                <w:color w:val="000000"/>
                <w:sz w:val="18"/>
                <w:szCs w:val="18"/>
                <w:u w:val="none"/>
              </w:rPr>
            </w:pPr>
          </w:p>
        </w:tc>
        <w:tc>
          <w:tcPr>
            <w:tcW w:w="1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9314F">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6C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非税收入管理合规性</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B02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273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1E032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合规</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6D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合规</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F82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考察非税收入是否做到应交尽交。根据实际情况酌情打分，评级“合规”、“较合规”、“一般合规”、“不合规”，分别得权重分100%、75%、50%、0。</w:t>
            </w:r>
          </w:p>
        </w:tc>
      </w:tr>
      <w:tr w14:paraId="28CA5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B3B14">
            <w:pPr>
              <w:jc w:val="center"/>
              <w:rPr>
                <w:rFonts w:hint="eastAsia" w:ascii="宋体" w:hAnsi="宋体" w:eastAsia="宋体" w:cs="宋体"/>
                <w:i w:val="0"/>
                <w:iCs w:val="0"/>
                <w:color w:val="000000"/>
                <w:sz w:val="18"/>
                <w:szCs w:val="18"/>
                <w:u w:val="none"/>
              </w:rPr>
            </w:pPr>
          </w:p>
        </w:tc>
        <w:tc>
          <w:tcPr>
            <w:tcW w:w="1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AF4B4">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71A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预决算信息公开度</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13E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499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77C28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94E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C38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考察预决算信息是否在“双平台”进行公开，内容和时限是否符合要求。根据实际情况酌情打分，评级“优”、“良”、“中”、“差”，分别得权重分100%、75%、50%、0。</w:t>
            </w:r>
          </w:p>
        </w:tc>
      </w:tr>
      <w:tr w14:paraId="7552A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55375">
            <w:pPr>
              <w:jc w:val="center"/>
              <w:rPr>
                <w:rFonts w:hint="eastAsia" w:ascii="宋体" w:hAnsi="宋体" w:eastAsia="宋体" w:cs="宋体"/>
                <w:i w:val="0"/>
                <w:iCs w:val="0"/>
                <w:color w:val="000000"/>
                <w:sz w:val="18"/>
                <w:szCs w:val="18"/>
                <w:u w:val="none"/>
              </w:rPr>
            </w:pPr>
          </w:p>
        </w:tc>
        <w:tc>
          <w:tcPr>
            <w:tcW w:w="1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58B2B">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1D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基础信息完善性</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17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F9C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49142E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完善</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AA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完善</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749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考察单位预算编制过程中人员、车辆等基础信息是否完整。根据实际情况酌情打分，评级“完善”、“基本完善”、“一般完善”、“不完善”，分别得权重分100%、75%、50%、0。</w:t>
            </w:r>
          </w:p>
        </w:tc>
      </w:tr>
      <w:tr w14:paraId="078D7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D8370">
            <w:pPr>
              <w:jc w:val="center"/>
              <w:rPr>
                <w:rFonts w:hint="eastAsia" w:ascii="宋体" w:hAnsi="宋体" w:eastAsia="宋体" w:cs="宋体"/>
                <w:i w:val="0"/>
                <w:iCs w:val="0"/>
                <w:color w:val="000000"/>
                <w:sz w:val="18"/>
                <w:szCs w:val="18"/>
                <w:u w:val="none"/>
              </w:rPr>
            </w:pPr>
          </w:p>
        </w:tc>
        <w:tc>
          <w:tcPr>
            <w:tcW w:w="1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F3A6E">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DDA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绩效管理覆盖率</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8EE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C08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00019D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704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4F9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绩效管理覆盖率=纳入绩效管理的项目预算/年初预算总额。根据覆盖率按比例得分。</w:t>
            </w:r>
          </w:p>
        </w:tc>
      </w:tr>
      <w:tr w14:paraId="4279C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B7A39">
            <w:pPr>
              <w:jc w:val="center"/>
              <w:rPr>
                <w:rFonts w:hint="eastAsia" w:ascii="宋体" w:hAnsi="宋体" w:eastAsia="宋体" w:cs="宋体"/>
                <w:i w:val="0"/>
                <w:iCs w:val="0"/>
                <w:color w:val="000000"/>
                <w:sz w:val="18"/>
                <w:szCs w:val="18"/>
                <w:u w:val="none"/>
              </w:rPr>
            </w:pPr>
          </w:p>
        </w:tc>
        <w:tc>
          <w:tcPr>
            <w:tcW w:w="1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76D30">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F1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资金使用合规性</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BD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7A8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25A3C7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合规</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A5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合规</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6C4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考察资金使用是否符合财经纪律、单位财务管理制度。发现一项扣减10%权重分，扣完为止。</w:t>
            </w:r>
          </w:p>
        </w:tc>
      </w:tr>
      <w:tr w14:paraId="3E4EC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FDD0A">
            <w:pPr>
              <w:jc w:val="center"/>
              <w:rPr>
                <w:rFonts w:hint="eastAsia" w:ascii="宋体" w:hAnsi="宋体" w:eastAsia="宋体" w:cs="宋体"/>
                <w:i w:val="0"/>
                <w:iCs w:val="0"/>
                <w:color w:val="000000"/>
                <w:sz w:val="18"/>
                <w:szCs w:val="18"/>
                <w:u w:val="none"/>
              </w:rPr>
            </w:pPr>
          </w:p>
        </w:tc>
        <w:tc>
          <w:tcPr>
            <w:tcW w:w="13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59CF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资产管理</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360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资产管理规范性</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13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231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52ACFA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规范</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5E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规范</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10F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考察资产是否达到内部控制管理要求。根据实际情况酌情打分，评级“规范”、“较规范”、“一般规范”、“不规范”，分别得权重分100%、75%、50%、0。</w:t>
            </w:r>
          </w:p>
        </w:tc>
      </w:tr>
      <w:tr w14:paraId="3237A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FEC60">
            <w:pPr>
              <w:jc w:val="center"/>
              <w:rPr>
                <w:rFonts w:hint="eastAsia" w:ascii="宋体" w:hAnsi="宋体" w:eastAsia="宋体" w:cs="宋体"/>
                <w:i w:val="0"/>
                <w:iCs w:val="0"/>
                <w:color w:val="000000"/>
                <w:sz w:val="18"/>
                <w:szCs w:val="18"/>
                <w:u w:val="none"/>
              </w:rPr>
            </w:pPr>
          </w:p>
        </w:tc>
        <w:tc>
          <w:tcPr>
            <w:tcW w:w="1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17808">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C2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固定资产利用率</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D2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71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253C5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007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1B9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固定资产利用率=正常使用资产数量/总资产数量。按比例得分。</w:t>
            </w:r>
          </w:p>
        </w:tc>
      </w:tr>
      <w:tr w14:paraId="34C9A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3E592">
            <w:pPr>
              <w:jc w:val="center"/>
              <w:rPr>
                <w:rFonts w:hint="eastAsia" w:ascii="宋体" w:hAnsi="宋体" w:eastAsia="宋体" w:cs="宋体"/>
                <w:i w:val="0"/>
                <w:iCs w:val="0"/>
                <w:color w:val="000000"/>
                <w:sz w:val="18"/>
                <w:szCs w:val="18"/>
                <w:u w:val="none"/>
              </w:rPr>
            </w:pPr>
          </w:p>
        </w:tc>
        <w:tc>
          <w:tcPr>
            <w:tcW w:w="1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AB041">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C7E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资产管理制度健全性</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329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782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1D0CC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健全</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61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健全</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FC1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考察单位是否建立资产管理制度。根据实际情况酌情打分，评级“健全”、“基本健全”、“一般”、“不健全”，分别得权重分100%、75%、50%、0。</w:t>
            </w:r>
          </w:p>
        </w:tc>
      </w:tr>
      <w:tr w14:paraId="533D6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0150C">
            <w:pPr>
              <w:jc w:val="center"/>
              <w:rPr>
                <w:rFonts w:hint="eastAsia" w:ascii="宋体" w:hAnsi="宋体" w:eastAsia="宋体" w:cs="宋体"/>
                <w:i w:val="0"/>
                <w:iCs w:val="0"/>
                <w:color w:val="000000"/>
                <w:sz w:val="18"/>
                <w:szCs w:val="18"/>
                <w:u w:val="none"/>
              </w:rPr>
            </w:pPr>
          </w:p>
        </w:tc>
        <w:tc>
          <w:tcPr>
            <w:tcW w:w="13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C1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项目管理</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DF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项目管理制度执行规范性</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F5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86E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442032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规范</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386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规范</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DE7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考察各项目是否根据项目管理制度进行分配、支出。出现一例违规事项，扣减10%权重，扣完为止。</w:t>
            </w:r>
          </w:p>
        </w:tc>
      </w:tr>
      <w:tr w14:paraId="319F7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1BDF4">
            <w:pPr>
              <w:jc w:val="center"/>
              <w:rPr>
                <w:rFonts w:hint="eastAsia" w:ascii="宋体" w:hAnsi="宋体" w:eastAsia="宋体" w:cs="宋体"/>
                <w:i w:val="0"/>
                <w:iCs w:val="0"/>
                <w:color w:val="000000"/>
                <w:sz w:val="18"/>
                <w:szCs w:val="18"/>
                <w:u w:val="none"/>
              </w:rPr>
            </w:pPr>
          </w:p>
        </w:tc>
        <w:tc>
          <w:tcPr>
            <w:tcW w:w="1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5CC53">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7D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项目管理制度健全性</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AC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1D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031695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健全</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67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健全</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2A9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考察各项目是否建立项目管理办法。根据实际情况酌情打分，评级“健全”、“基本健全”、“一般”、“不健全”，分别得权重分100%、75%、50%、0。</w:t>
            </w:r>
          </w:p>
        </w:tc>
      </w:tr>
      <w:tr w14:paraId="51BFD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0599D">
            <w:pPr>
              <w:jc w:val="center"/>
              <w:rPr>
                <w:rFonts w:hint="eastAsia" w:ascii="宋体" w:hAnsi="宋体" w:eastAsia="宋体" w:cs="宋体"/>
                <w:i w:val="0"/>
                <w:iCs w:val="0"/>
                <w:color w:val="000000"/>
                <w:sz w:val="18"/>
                <w:szCs w:val="18"/>
                <w:u w:val="none"/>
              </w:rPr>
            </w:pPr>
          </w:p>
        </w:tc>
        <w:tc>
          <w:tcPr>
            <w:tcW w:w="13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F97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人员管理</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9F7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人员管理制度执行有效性</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365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594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7672B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7B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FA7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考察单位人员管理制度执行效果。根据实际情况酌情打分，评级“有效”、“基本有效”、“一般”、“无效”，分别得权重分100%、75%、50%、0。</w:t>
            </w:r>
          </w:p>
        </w:tc>
      </w:tr>
      <w:tr w14:paraId="62CBD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65AC1">
            <w:pPr>
              <w:jc w:val="center"/>
              <w:rPr>
                <w:rFonts w:hint="eastAsia" w:ascii="宋体" w:hAnsi="宋体" w:eastAsia="宋体" w:cs="宋体"/>
                <w:i w:val="0"/>
                <w:iCs w:val="0"/>
                <w:color w:val="000000"/>
                <w:sz w:val="18"/>
                <w:szCs w:val="18"/>
                <w:u w:val="none"/>
              </w:rPr>
            </w:pPr>
          </w:p>
        </w:tc>
        <w:tc>
          <w:tcPr>
            <w:tcW w:w="1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28826">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F74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在职人员控制率</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1AA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C4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5DA01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A16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211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在职人员控制率=年末实有人数/单位编制数。小于100%得满分，超出10%以内得50%权重，超出10%不得分。</w:t>
            </w:r>
          </w:p>
        </w:tc>
      </w:tr>
      <w:tr w14:paraId="365B8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00BB7">
            <w:pPr>
              <w:jc w:val="center"/>
              <w:rPr>
                <w:rFonts w:hint="eastAsia" w:ascii="宋体" w:hAnsi="宋体" w:eastAsia="宋体" w:cs="宋体"/>
                <w:i w:val="0"/>
                <w:iCs w:val="0"/>
                <w:color w:val="000000"/>
                <w:sz w:val="18"/>
                <w:szCs w:val="18"/>
                <w:u w:val="none"/>
              </w:rPr>
            </w:pPr>
          </w:p>
        </w:tc>
        <w:tc>
          <w:tcPr>
            <w:tcW w:w="1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767C5">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B7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人员管理制度健全性</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A3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D34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21AF6A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健全</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8A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健全</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9A3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考察单位是否建立人员管理制度。根据实际情况酌情打分，评级“健全”、“基本健全”、“一般”、“不健全”，分别得权重分100%、75%、50%、0。</w:t>
            </w:r>
          </w:p>
        </w:tc>
      </w:tr>
      <w:tr w14:paraId="1BFFF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6CA67">
            <w:pPr>
              <w:jc w:val="center"/>
              <w:rPr>
                <w:rFonts w:hint="eastAsia" w:ascii="宋体" w:hAnsi="宋体" w:eastAsia="宋体" w:cs="宋体"/>
                <w:i w:val="0"/>
                <w:iCs w:val="0"/>
                <w:color w:val="000000"/>
                <w:sz w:val="18"/>
                <w:szCs w:val="18"/>
                <w:u w:val="none"/>
              </w:rPr>
            </w:pPr>
          </w:p>
        </w:tc>
        <w:tc>
          <w:tcPr>
            <w:tcW w:w="13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4842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机构建设</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6C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业务学习与培训及时完成率</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96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07A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3F146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79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FE9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考察单位年初计划的业务学习等是否完成。根据实际情况酌情打分，评级“100%”、“80%”、“60%”、“低于60%”，分别得权重分100%、75%、50%、0。</w:t>
            </w:r>
          </w:p>
        </w:tc>
      </w:tr>
      <w:tr w14:paraId="54D72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2C5DC">
            <w:pPr>
              <w:jc w:val="center"/>
              <w:rPr>
                <w:rFonts w:hint="eastAsia" w:ascii="宋体" w:hAnsi="宋体" w:eastAsia="宋体" w:cs="宋体"/>
                <w:i w:val="0"/>
                <w:iCs w:val="0"/>
                <w:color w:val="000000"/>
                <w:sz w:val="18"/>
                <w:szCs w:val="18"/>
                <w:u w:val="none"/>
              </w:rPr>
            </w:pPr>
          </w:p>
        </w:tc>
        <w:tc>
          <w:tcPr>
            <w:tcW w:w="1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21F7E">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2E1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纪检监察工作有效性</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8A4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5ED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2869A1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24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244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考察单位纪检监察工作开展情况。根据实际情况酌情打分，评级“有效”、“基本有效”、“一般”、“无效”，分别得权重分100%、75%、50%、0。</w:t>
            </w:r>
          </w:p>
        </w:tc>
      </w:tr>
      <w:tr w14:paraId="4C07A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02B2E">
            <w:pPr>
              <w:jc w:val="center"/>
              <w:rPr>
                <w:rFonts w:hint="eastAsia" w:ascii="宋体" w:hAnsi="宋体" w:eastAsia="宋体" w:cs="宋体"/>
                <w:i w:val="0"/>
                <w:iCs w:val="0"/>
                <w:color w:val="000000"/>
                <w:sz w:val="18"/>
                <w:szCs w:val="18"/>
                <w:u w:val="none"/>
              </w:rPr>
            </w:pPr>
          </w:p>
        </w:tc>
        <w:tc>
          <w:tcPr>
            <w:tcW w:w="13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12EC6">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06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组织建设工作及时完成率</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B01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6A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03F8BF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5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C8D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考察组织建设工作年度计划完成情况。根据实际情况酌情打分，评级“100%”、“80%”、“60%”、“低于60%”，分别得权重分100%、75%、50%、0。</w:t>
            </w:r>
          </w:p>
        </w:tc>
      </w:tr>
      <w:tr w14:paraId="15BDC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5" w:hRule="atLeast"/>
        </w:trPr>
        <w:tc>
          <w:tcPr>
            <w:tcW w:w="2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3F9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履职</w:t>
            </w:r>
          </w:p>
          <w:p w14:paraId="05AFA5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0CA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面贯彻落实公共卫生领域相关法律法规，坚持预防为主的卫生健康工作方针，完善疾病预防控制体系。健全重大疫情应急响应机制，建立集中统一高效的突发重特大疫情防控规范和应急救治管理办法，完善重大疫情防控救治体系。加强防治结合、联防联控，群防群控工作机制，建立卫生健康监察专员制度，完善公共卫生重大风险的研判、评估、决策、防控，完善公共卫生服务体系。</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172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着力抓紧抓实抓细常态化疫情防控。毫不动摇坚持“外防输入、内防反弹”总策略和“动态清零”总方针，落实《新型冠状病毒肺炎防控方案（第九版）》和疫情防控“九不准”要求，统筹做好常态化疫情防控和保障经济社会发展工作。做好境外和国内中高风险地区来宁人员的健康管理和核酸检测工作，持续推进重点人群“应检尽检”和重点岗位人员闭环管理，强化集中隔离场所和集中监管仓卫生学指导。加强预检分诊和发热门诊管理，发挥医疗机构哨点作用。完善医疗救治体系建设，统筹推进定点、亚定点和方舱医院的建设储备。落实《应急处置能力项目清单（第三版）》，做好应急处置准备。全面推进新冠病毒疫苗接种特别是60岁以上人群接种工作。</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E36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常态化疫情防控政策落实</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B5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BC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5B953D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到位</w:t>
            </w:r>
          </w:p>
        </w:tc>
        <w:tc>
          <w:tcPr>
            <w:tcW w:w="406" w:type="pct"/>
            <w:tcBorders>
              <w:top w:val="single" w:color="000000" w:sz="4" w:space="0"/>
              <w:left w:val="single" w:color="000000" w:sz="4" w:space="0"/>
              <w:bottom w:val="single" w:color="000000" w:sz="4" w:space="0"/>
              <w:right w:val="nil"/>
            </w:tcBorders>
            <w:shd w:val="clear" w:color="auto" w:fill="auto"/>
            <w:vAlign w:val="center"/>
          </w:tcPr>
          <w:p w14:paraId="5B693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到位</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619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考察常态化疫情防控政策落实情况。根据实际情况酌情打分，评级“到位”、“基本到位”、“一般”、“不到位”，分别得权重分100%、75%、50%、0。</w:t>
            </w:r>
          </w:p>
        </w:tc>
      </w:tr>
      <w:tr w14:paraId="04198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119E9">
            <w:pPr>
              <w:jc w:val="center"/>
              <w:rPr>
                <w:rFonts w:hint="eastAsia" w:ascii="宋体" w:hAnsi="宋体" w:eastAsia="宋体" w:cs="宋体"/>
                <w:i w:val="0"/>
                <w:iCs w:val="0"/>
                <w:color w:val="000000"/>
                <w:sz w:val="18"/>
                <w:szCs w:val="18"/>
                <w:u w:val="none"/>
              </w:rPr>
            </w:pP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13F8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协调推进深化医药卫生体制改革，会同有关部门研究提出深化医药卫生体制改革重大部署、政策、措施的建议。组织推动公立医院综合改革，推进管办分离，健全现代医院管理制度，制定并组织实施卫生健康公共服务提供主体多元化、提供方式多样化的政策措施，提出医疗服务和药品价格政策的建议。</w:t>
            </w:r>
          </w:p>
        </w:tc>
        <w:tc>
          <w:tcPr>
            <w:tcW w:w="7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594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着力深化医药卫生体制改革。全面做好综合医改效果评价工作，推广三明医改经验，进一步深化“三医”联动。落实试点要求，做好对公立医疗机构改革发展、重大项目、重要事项全过程管理，协同推动公立医院高质量发展。拓宽签约服务筹资渠道，探索重点人群商保签约，规范服务包及签约流程。推动各级公立医疗机构优先配备合理使用基本药物，逐步形成以基本药物为主导的“1+X”用药模式。加强临床药事管理，突出麻精药品、抗菌药物、抗肿瘤治疗药、重点监控药品和高值医用耗材合理使用监管。按时间节点推进“双随机、一公开”抽查工作，开展医疗乱象专项治理，组织“卫生监督员进高校”培训。</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399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卫生监督员执法能力</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6E7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E7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4A2728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1D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4FC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考察卫生监督员执法能力情况。根据实际情况酌情打分，评级“提升”、“未提升”、“下降位”，分别得权重分100%、50%、0。</w:t>
            </w:r>
          </w:p>
        </w:tc>
      </w:tr>
      <w:tr w14:paraId="114AD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7699A">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0D17E">
            <w:pPr>
              <w:jc w:val="center"/>
              <w:rPr>
                <w:rFonts w:hint="eastAsia" w:ascii="宋体" w:hAnsi="宋体" w:eastAsia="宋体" w:cs="宋体"/>
                <w:i w:val="0"/>
                <w:iCs w:val="0"/>
                <w:color w:val="000000"/>
                <w:sz w:val="18"/>
                <w:szCs w:val="18"/>
                <w:u w:val="none"/>
              </w:rPr>
            </w:pPr>
          </w:p>
        </w:tc>
        <w:tc>
          <w:tcPr>
            <w:tcW w:w="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41D75">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CAF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基层医疗机构基本药物配备使用金额占比</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1AC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D47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431DB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8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3FF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考察基本药物配备使用金额占比情况，每偏离目标值1%，扣除权重分的5%，扣完为止。</w:t>
            </w:r>
          </w:p>
        </w:tc>
      </w:tr>
      <w:tr w14:paraId="1363B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BE294">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35B9A">
            <w:pPr>
              <w:jc w:val="center"/>
              <w:rPr>
                <w:rFonts w:hint="eastAsia" w:ascii="宋体" w:hAnsi="宋体" w:eastAsia="宋体" w:cs="宋体"/>
                <w:i w:val="0"/>
                <w:iCs w:val="0"/>
                <w:color w:val="000000"/>
                <w:sz w:val="18"/>
                <w:szCs w:val="18"/>
                <w:u w:val="none"/>
              </w:rPr>
            </w:pPr>
          </w:p>
        </w:tc>
        <w:tc>
          <w:tcPr>
            <w:tcW w:w="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F4101">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925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基层医疗机构基本药物配备使用品种占比</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D13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828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458FB5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0A4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351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考察基本药物配备使用品种占比情况，每偏离目标值1%，扣除权重分的5%，扣完为止。</w:t>
            </w:r>
          </w:p>
        </w:tc>
      </w:tr>
      <w:tr w14:paraId="3B7B4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881BF">
            <w:pPr>
              <w:jc w:val="center"/>
              <w:rPr>
                <w:rFonts w:hint="eastAsia" w:ascii="宋体" w:hAnsi="宋体" w:eastAsia="宋体" w:cs="宋体"/>
                <w:i w:val="0"/>
                <w:iCs w:val="0"/>
                <w:color w:val="000000"/>
                <w:sz w:val="18"/>
                <w:szCs w:val="18"/>
                <w:u w:val="none"/>
              </w:rPr>
            </w:pP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5F2A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定并组织落实疾病预防控制规划、免疫规划以及严重危害人民健康公共卫生问题的干预措施。负责卫生应急工作，组织指导全市突发公共卫生事件的预防控制和各类突发公共事件的医疗卫生救援。发布法定报告传染病疫情信息、突发公共卫生事件应急处置信息</w:t>
            </w:r>
          </w:p>
        </w:tc>
        <w:tc>
          <w:tcPr>
            <w:tcW w:w="7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973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着力提高公共卫生服务能力。强化联防联控、群防群控、多病共防，开展狂犬病、人禽流感、猪链球菌病等人畜共患病源头治理，强化病媒生物监测与风险评估，防范登革热、猴痘等传染病输入，协同教育部门落实学校传染病防控措施。广泛开展血防健康教育，宣传发动群众积极参与血防工作。加大对学校结核病健康宣教力度。开展全市精防医生业务培训，推进鼓楼、雨花台和浦口区社会心理服务体系建设工作。继续做好突发公共卫生事件处置、紧急医学救援和重大活动疫情防控及医疗保障，组织应急救治技能竞赛。</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BD2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传染病和突发公共卫生事件报告率</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3D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99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63F01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AEF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4D1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考察传染病和突发公共卫生事件报告情况，每偏离目标值1%，扣除权重分的5%，扣完为止。</w:t>
            </w:r>
          </w:p>
        </w:tc>
      </w:tr>
      <w:tr w14:paraId="016FE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16C60">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B9ABD">
            <w:pPr>
              <w:jc w:val="center"/>
              <w:rPr>
                <w:rFonts w:hint="eastAsia" w:ascii="宋体" w:hAnsi="宋体" w:eastAsia="宋体" w:cs="宋体"/>
                <w:i w:val="0"/>
                <w:iCs w:val="0"/>
                <w:color w:val="000000"/>
                <w:sz w:val="18"/>
                <w:szCs w:val="18"/>
                <w:u w:val="none"/>
              </w:rPr>
            </w:pPr>
          </w:p>
        </w:tc>
        <w:tc>
          <w:tcPr>
            <w:tcW w:w="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33D59">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CCC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肺结核患者管理率</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227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767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682E46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7E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FC8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根据肺结核患者管理情况，按比例得分。超额完成得满分。</w:t>
            </w:r>
          </w:p>
        </w:tc>
      </w:tr>
      <w:tr w14:paraId="4BF76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96D9F">
            <w:pPr>
              <w:jc w:val="center"/>
              <w:rPr>
                <w:rFonts w:hint="eastAsia" w:ascii="宋体" w:hAnsi="宋体" w:eastAsia="宋体" w:cs="宋体"/>
                <w:i w:val="0"/>
                <w:iCs w:val="0"/>
                <w:color w:val="000000"/>
                <w:sz w:val="18"/>
                <w:szCs w:val="18"/>
                <w:u w:val="none"/>
              </w:rPr>
            </w:pP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EE6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负责健康南京战略协调推进工作，研究提出健康南京建设的政策建议、制度措施和职责分工并协调实施。统筹全市健康促进与健康服务工作。</w:t>
            </w:r>
          </w:p>
        </w:tc>
        <w:tc>
          <w:tcPr>
            <w:tcW w:w="7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94E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着力推进健康南京建设。持续推进健康区街建设，指导秦淮区、栖霞区建设省级健康区。开展健康细胞建设，重点建设健康促进医院、健康主题公园、健康步道、健康驿站等，保证建设质量和使用率。倡导健康生活方式，组织开展工间操、健骨操比赛，促进在职人群体育制度化、常态化。深入开展爱国卫生运动，做好迎接国家卫生城市第5次复审工作，实现国家卫生镇全覆盖、省级卫生村全覆盖。深化无烟环境建设，大力推进《南京市烟草烟雾危害控制条例》立法工作。</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559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国家卫生镇创建率</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1F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B3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154895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7A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865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考察国家卫生镇创建情况，每偏离目标值1%，扣除权重分的5%，扣完为止。</w:t>
            </w:r>
          </w:p>
        </w:tc>
      </w:tr>
      <w:tr w14:paraId="3BFA1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C1DE1">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D882C">
            <w:pPr>
              <w:jc w:val="center"/>
              <w:rPr>
                <w:rFonts w:hint="eastAsia" w:ascii="宋体" w:hAnsi="宋体" w:eastAsia="宋体" w:cs="宋体"/>
                <w:i w:val="0"/>
                <w:iCs w:val="0"/>
                <w:color w:val="000000"/>
                <w:sz w:val="18"/>
                <w:szCs w:val="18"/>
                <w:u w:val="none"/>
              </w:rPr>
            </w:pPr>
          </w:p>
        </w:tc>
        <w:tc>
          <w:tcPr>
            <w:tcW w:w="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5FA4F">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E3A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省级健康区建成率</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BE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D4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3A359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6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66.7%</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7D0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考察省级健康区建成情况，每偏离目标值1%，扣除权重分的5%，扣完为止。</w:t>
            </w:r>
          </w:p>
        </w:tc>
      </w:tr>
      <w:tr w14:paraId="1DCBB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90D58">
            <w:pPr>
              <w:jc w:val="center"/>
              <w:rPr>
                <w:rFonts w:hint="eastAsia" w:ascii="宋体" w:hAnsi="宋体" w:eastAsia="宋体" w:cs="宋体"/>
                <w:i w:val="0"/>
                <w:iCs w:val="0"/>
                <w:color w:val="000000"/>
                <w:sz w:val="18"/>
                <w:szCs w:val="18"/>
                <w:u w:val="none"/>
              </w:rPr>
            </w:pP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2EE5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指导全市基层卫生健康工作，推进基层医疗卫生、妇幼健康服务体系和全科医生队伍建设。</w:t>
            </w:r>
          </w:p>
        </w:tc>
        <w:tc>
          <w:tcPr>
            <w:tcW w:w="7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E3C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继续开展城乡适龄妇女免费“两癌”检查，做细在校适龄女生HPV疫苗免费接种工作，2023年接种率不低于60%；新增普惠托育机构14家；加强出生缺陷综合防治，实现产前筛查、新生儿疾病筛查全覆盖。加强基层卫生人才队伍建设，拓宽基层卫生人才引进渠道，优化基层卫生人才配置和管理方式。</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92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乳腺癌检查、宫颈癌检查任务数</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61E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F6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04A5DD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≥23万人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D47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23.65</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C39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根据乳腺癌检查、宫颈癌筛查情况，按完成数量比例得分。超额完成得满分。</w:t>
            </w:r>
          </w:p>
        </w:tc>
      </w:tr>
      <w:tr w14:paraId="08EED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1041B">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48CF7">
            <w:pPr>
              <w:jc w:val="center"/>
              <w:rPr>
                <w:rFonts w:hint="eastAsia" w:ascii="宋体" w:hAnsi="宋体" w:eastAsia="宋体" w:cs="宋体"/>
                <w:i w:val="0"/>
                <w:iCs w:val="0"/>
                <w:color w:val="000000"/>
                <w:sz w:val="18"/>
                <w:szCs w:val="18"/>
                <w:u w:val="none"/>
              </w:rPr>
            </w:pPr>
          </w:p>
        </w:tc>
        <w:tc>
          <w:tcPr>
            <w:tcW w:w="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8C3F6">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05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HPV（人乳头瘤病毒）筛查任务数</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4B6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193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7CABE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≥8万人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1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920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根据HPV（人乳头瘤病毒）筛查情况，按完成数量比例得分。超额完成得满分。</w:t>
            </w:r>
          </w:p>
        </w:tc>
      </w:tr>
      <w:tr w14:paraId="7EE4B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8FD22">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BAFCC">
            <w:pPr>
              <w:jc w:val="center"/>
              <w:rPr>
                <w:rFonts w:hint="eastAsia" w:ascii="宋体" w:hAnsi="宋体" w:eastAsia="宋体" w:cs="宋体"/>
                <w:i w:val="0"/>
                <w:iCs w:val="0"/>
                <w:color w:val="000000"/>
                <w:sz w:val="18"/>
                <w:szCs w:val="18"/>
                <w:u w:val="none"/>
              </w:rPr>
            </w:pPr>
          </w:p>
        </w:tc>
        <w:tc>
          <w:tcPr>
            <w:tcW w:w="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ECD65">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439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在校适龄女生免费HPV疫苗接种率</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A9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D6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3E6FE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D4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71.00%</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089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根据在校适龄女生免费HPV疫苗接种情况，每偏离目标值1%，扣除权重分的5%，扣完为止。</w:t>
            </w:r>
          </w:p>
        </w:tc>
      </w:tr>
      <w:tr w14:paraId="76BDC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889FA">
            <w:pPr>
              <w:jc w:val="center"/>
              <w:rPr>
                <w:rFonts w:hint="eastAsia" w:ascii="宋体" w:hAnsi="宋体" w:eastAsia="宋体" w:cs="宋体"/>
                <w:i w:val="0"/>
                <w:iCs w:val="0"/>
                <w:color w:val="000000"/>
                <w:sz w:val="18"/>
                <w:szCs w:val="18"/>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AC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拟订并协调落实全市应对人口老龄化政策措施，负责推进全市老年健康服务体系建设和医养结合工作。承担市老龄工作委员会办公室的具体工作。负责计划生育管理和服务工作，开展人口监测预警，研究提出人口与家庭发展相关政策建议，落实计划生育政策和人口发展规划相关任务。</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F74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开展“智慧助老”行动，继续举办夕阳红歌会和老年春晚，指导六合区人民医院完成区老年病医院建设，提高老年人健康体检质量。推动优化生育政策落地落实，减轻育龄夫妇生育养育负担，建立全员人口信息管理七项机制。</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67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完成举办第二十三届南京市夕阳红歌会时效</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49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DB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0473E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敬老月前后完成</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B3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按计划完成</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6F4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考察夕阳红歌会完成时间情况。根据实际情况酌情打分，评级“按计划完成”、“延期年内完成”、“未完成”，分别得权重分100%、50%、0。</w:t>
            </w:r>
          </w:p>
        </w:tc>
      </w:tr>
      <w:tr w14:paraId="6209F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60169">
            <w:pPr>
              <w:jc w:val="center"/>
              <w:rPr>
                <w:rFonts w:hint="eastAsia" w:ascii="宋体" w:hAnsi="宋体" w:eastAsia="宋体" w:cs="宋体"/>
                <w:i w:val="0"/>
                <w:iCs w:val="0"/>
                <w:color w:val="000000"/>
                <w:sz w:val="18"/>
                <w:szCs w:val="18"/>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19A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贯彻实施国家中医药法律、法规，拟订并组织实施中医药中长期发展规划、政策措施，并纳入全市卫生健康事业发展总体规划和战略目标。负责中医药和中西医结合工作的管理。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E27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做好省、市中医重点专科建设，启动新一轮南京市名中医师承带教工作，大力推进全国基层中医药工作示范县、市级名中医工作室（站）创建，完成1-2所二级中医院转设为三级中医院。</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46E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二级以上公立中医院科室达标建设机构数量</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DEA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AAF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126AD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2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8个</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99B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根据二级以上公立中医院科室达标建设机构数量，按比例得分。超额完成得满分。</w:t>
            </w:r>
          </w:p>
        </w:tc>
      </w:tr>
      <w:tr w14:paraId="41FAC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33D63">
            <w:pPr>
              <w:jc w:val="center"/>
              <w:rPr>
                <w:rFonts w:hint="eastAsia" w:ascii="宋体" w:hAnsi="宋体" w:eastAsia="宋体" w:cs="宋体"/>
                <w:i w:val="0"/>
                <w:iCs w:val="0"/>
                <w:color w:val="000000"/>
                <w:sz w:val="18"/>
                <w:szCs w:val="18"/>
                <w:u w:val="none"/>
              </w:rPr>
            </w:pP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95C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拟订全市卫生健康科技发展规划，组织实施卫生健康相关科研项目。推进卫生健康科技创新发展。</w:t>
            </w:r>
          </w:p>
        </w:tc>
        <w:tc>
          <w:tcPr>
            <w:tcW w:w="7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50E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着力增强卫生科教创新和人才队伍建设水平。以高层次人才（院士）战略为抓手，引领培育学术顶尖人才和一流创新团队，大力提升南京卫生的学术影响力和核心竞争力。一体推进省级医学创新中心、医学重点学科，市级临床医学中心、临床医学研究中心等建设，重点支持优势学科创建国家级创新平台，打造医学高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AF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西医规范化培训参培人数</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EA2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24C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38A606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E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2481</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92A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根据当年</w:t>
            </w:r>
            <w:bookmarkStart w:id="17" w:name="_GoBack"/>
            <w:bookmarkEnd w:id="17"/>
            <w:r>
              <w:rPr>
                <w:rFonts w:hint="eastAsia" w:ascii="宋体" w:hAnsi="宋体" w:eastAsia="宋体" w:cs="宋体"/>
                <w:i w:val="0"/>
                <w:iCs w:val="0"/>
                <w:color w:val="000000"/>
                <w:kern w:val="0"/>
                <w:sz w:val="18"/>
                <w:szCs w:val="18"/>
                <w:u w:val="none"/>
                <w:lang w:val="en-US" w:eastAsia="zh-CN" w:bidi="ar"/>
              </w:rPr>
              <w:t>实际参加培训人数，按比例得分。超额完成得满分。</w:t>
            </w:r>
          </w:p>
        </w:tc>
      </w:tr>
      <w:tr w14:paraId="08986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CABB1">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5AFC2">
            <w:pPr>
              <w:jc w:val="center"/>
              <w:rPr>
                <w:rFonts w:hint="eastAsia" w:ascii="宋体" w:hAnsi="宋体" w:eastAsia="宋体" w:cs="宋体"/>
                <w:i w:val="0"/>
                <w:iCs w:val="0"/>
                <w:color w:val="000000"/>
                <w:sz w:val="18"/>
                <w:szCs w:val="18"/>
                <w:u w:val="none"/>
              </w:rPr>
            </w:pPr>
          </w:p>
        </w:tc>
        <w:tc>
          <w:tcPr>
            <w:tcW w:w="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B6855">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B9D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西医规范化培训合格率</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88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4DA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55FD6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FD7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92.22%</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2A6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根据西医规范化培训合格情况，每偏离目标值1%，扣除权重分的5%，扣完为止。</w:t>
            </w:r>
          </w:p>
        </w:tc>
      </w:tr>
      <w:tr w14:paraId="75D89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020E5">
            <w:pPr>
              <w:jc w:val="center"/>
              <w:rPr>
                <w:rFonts w:hint="eastAsia" w:ascii="宋体" w:hAnsi="宋体" w:eastAsia="宋体" w:cs="宋体"/>
                <w:i w:val="0"/>
                <w:iCs w:val="0"/>
                <w:color w:val="000000"/>
                <w:sz w:val="18"/>
                <w:szCs w:val="18"/>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85BFE">
            <w:pPr>
              <w:jc w:val="center"/>
              <w:rPr>
                <w:rFonts w:hint="eastAsia" w:ascii="宋体" w:hAnsi="宋体" w:eastAsia="宋体" w:cs="宋体"/>
                <w:i w:val="0"/>
                <w:iCs w:val="0"/>
                <w:color w:val="000000"/>
                <w:sz w:val="18"/>
                <w:szCs w:val="18"/>
                <w:u w:val="none"/>
              </w:rPr>
            </w:pPr>
          </w:p>
        </w:tc>
        <w:tc>
          <w:tcPr>
            <w:tcW w:w="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42250">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31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南京卫生的学术影响力和核心竞争力</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1D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FB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751E7E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406" w:type="pct"/>
            <w:tcBorders>
              <w:top w:val="single" w:color="000000" w:sz="4" w:space="0"/>
              <w:left w:val="single" w:color="000000" w:sz="4" w:space="0"/>
              <w:bottom w:val="single" w:color="000000" w:sz="4" w:space="0"/>
              <w:right w:val="nil"/>
            </w:tcBorders>
            <w:shd w:val="clear" w:color="auto" w:fill="auto"/>
            <w:vAlign w:val="center"/>
          </w:tcPr>
          <w:p w14:paraId="77C65A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957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考察南京卫生的学术影响力和核心竞争力情况。根据实际情况酌情打分，评级“提升”、“未提升”、“下降位”，分别得权重分100%、50%、0。</w:t>
            </w:r>
          </w:p>
        </w:tc>
      </w:tr>
      <w:tr w14:paraId="7D6C2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2" w:type="pct"/>
            <w:vMerge w:val="restart"/>
            <w:tcBorders>
              <w:top w:val="single" w:color="000000" w:sz="4" w:space="0"/>
              <w:left w:val="single" w:color="000000" w:sz="4" w:space="0"/>
              <w:bottom w:val="nil"/>
              <w:right w:val="single" w:color="000000" w:sz="4" w:space="0"/>
            </w:tcBorders>
            <w:shd w:val="clear" w:color="auto" w:fill="auto"/>
            <w:vAlign w:val="center"/>
          </w:tcPr>
          <w:p w14:paraId="71A88E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w:t>
            </w:r>
          </w:p>
          <w:p w14:paraId="5E7EA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（35分）</w:t>
            </w:r>
          </w:p>
        </w:tc>
        <w:tc>
          <w:tcPr>
            <w:tcW w:w="13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A6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13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居民健康素养水平</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9F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B85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2" w:type="pct"/>
            <w:tcBorders>
              <w:top w:val="single" w:color="000000" w:sz="4" w:space="0"/>
              <w:left w:val="single" w:color="000000" w:sz="4" w:space="0"/>
              <w:bottom w:val="single" w:color="000000" w:sz="4" w:space="0"/>
              <w:right w:val="nil"/>
            </w:tcBorders>
            <w:shd w:val="clear" w:color="auto" w:fill="auto"/>
            <w:vAlign w:val="center"/>
          </w:tcPr>
          <w:p w14:paraId="6B3DC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6F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40.92%</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1DF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根据居民健康素养水平情况，每偏离目标值1%，扣除权重分的5%，扣完为止。</w:t>
            </w:r>
          </w:p>
        </w:tc>
      </w:tr>
      <w:tr w14:paraId="4BA55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2" w:type="pct"/>
            <w:vMerge w:val="continue"/>
            <w:tcBorders>
              <w:top w:val="single" w:color="000000" w:sz="4" w:space="0"/>
              <w:left w:val="single" w:color="000000" w:sz="4" w:space="0"/>
              <w:bottom w:val="nil"/>
              <w:right w:val="single" w:color="000000" w:sz="4" w:space="0"/>
            </w:tcBorders>
            <w:shd w:val="clear" w:color="auto" w:fill="auto"/>
            <w:vAlign w:val="center"/>
          </w:tcPr>
          <w:p w14:paraId="2703283D">
            <w:pPr>
              <w:jc w:val="center"/>
              <w:rPr>
                <w:rFonts w:hint="eastAsia" w:ascii="宋体" w:hAnsi="宋体" w:eastAsia="宋体" w:cs="宋体"/>
                <w:i w:val="0"/>
                <w:iCs w:val="0"/>
                <w:color w:val="000000"/>
                <w:sz w:val="18"/>
                <w:szCs w:val="18"/>
                <w:u w:val="none"/>
              </w:rPr>
            </w:pPr>
          </w:p>
        </w:tc>
        <w:tc>
          <w:tcPr>
            <w:tcW w:w="1304"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52AE9D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66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基本公卫服务居民知晓度</w:t>
            </w:r>
          </w:p>
        </w:tc>
        <w:tc>
          <w:tcPr>
            <w:tcW w:w="281" w:type="pct"/>
            <w:tcBorders>
              <w:top w:val="single" w:color="000000" w:sz="4" w:space="0"/>
              <w:left w:val="single" w:color="000000" w:sz="4" w:space="0"/>
              <w:bottom w:val="nil"/>
              <w:right w:val="single" w:color="000000" w:sz="4" w:space="0"/>
            </w:tcBorders>
            <w:shd w:val="clear" w:color="auto" w:fill="auto"/>
            <w:vAlign w:val="center"/>
          </w:tcPr>
          <w:p w14:paraId="1989A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2" w:type="pct"/>
            <w:tcBorders>
              <w:top w:val="single" w:color="000000" w:sz="4" w:space="0"/>
              <w:left w:val="single" w:color="000000" w:sz="4" w:space="0"/>
              <w:bottom w:val="nil"/>
              <w:right w:val="single" w:color="000000" w:sz="4" w:space="0"/>
            </w:tcBorders>
            <w:shd w:val="clear" w:color="auto" w:fill="auto"/>
            <w:vAlign w:val="center"/>
          </w:tcPr>
          <w:p w14:paraId="3525B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2" w:type="pct"/>
            <w:tcBorders>
              <w:top w:val="single" w:color="000000" w:sz="4" w:space="0"/>
              <w:left w:val="single" w:color="000000" w:sz="4" w:space="0"/>
              <w:bottom w:val="nil"/>
              <w:right w:val="single" w:color="000000" w:sz="4" w:space="0"/>
            </w:tcBorders>
            <w:shd w:val="clear" w:color="auto" w:fill="auto"/>
            <w:vAlign w:val="center"/>
          </w:tcPr>
          <w:p w14:paraId="40081D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06" w:type="pct"/>
            <w:tcBorders>
              <w:top w:val="single" w:color="000000" w:sz="4" w:space="0"/>
              <w:left w:val="single" w:color="000000" w:sz="4" w:space="0"/>
              <w:bottom w:val="nil"/>
              <w:right w:val="single" w:color="000000" w:sz="4" w:space="0"/>
            </w:tcBorders>
            <w:shd w:val="clear" w:color="auto" w:fill="auto"/>
            <w:vAlign w:val="center"/>
          </w:tcPr>
          <w:p w14:paraId="63938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91.85%</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060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考察居民知晓度情况，每偏离目标值1%，扣除权重分的5%，扣完为止。</w:t>
            </w:r>
          </w:p>
        </w:tc>
      </w:tr>
      <w:tr w14:paraId="7420F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2" w:type="pct"/>
            <w:vMerge w:val="continue"/>
            <w:tcBorders>
              <w:top w:val="single" w:color="000000" w:sz="4" w:space="0"/>
              <w:left w:val="single" w:color="000000" w:sz="4" w:space="0"/>
              <w:bottom w:val="nil"/>
              <w:right w:val="single" w:color="000000" w:sz="4" w:space="0"/>
            </w:tcBorders>
            <w:shd w:val="clear" w:color="auto" w:fill="auto"/>
            <w:vAlign w:val="center"/>
          </w:tcPr>
          <w:p w14:paraId="1CEF60A6">
            <w:pPr>
              <w:jc w:val="center"/>
              <w:rPr>
                <w:rFonts w:hint="eastAsia" w:ascii="宋体" w:hAnsi="宋体" w:eastAsia="宋体" w:cs="宋体"/>
                <w:i w:val="0"/>
                <w:iCs w:val="0"/>
                <w:color w:val="000000"/>
                <w:sz w:val="18"/>
                <w:szCs w:val="18"/>
                <w:u w:val="none"/>
              </w:rPr>
            </w:pPr>
          </w:p>
        </w:tc>
        <w:tc>
          <w:tcPr>
            <w:tcW w:w="1304"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AAC7C26">
            <w:pPr>
              <w:jc w:val="center"/>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nil"/>
              <w:right w:val="single" w:color="000000" w:sz="4" w:space="0"/>
            </w:tcBorders>
            <w:shd w:val="clear" w:color="auto" w:fill="auto"/>
            <w:vAlign w:val="center"/>
          </w:tcPr>
          <w:p w14:paraId="61BA13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基本公卫服务居民满意度</w:t>
            </w:r>
          </w:p>
        </w:tc>
        <w:tc>
          <w:tcPr>
            <w:tcW w:w="281" w:type="pct"/>
            <w:tcBorders>
              <w:top w:val="single" w:color="000000" w:sz="4" w:space="0"/>
              <w:left w:val="single" w:color="000000" w:sz="4" w:space="0"/>
              <w:bottom w:val="nil"/>
              <w:right w:val="single" w:color="000000" w:sz="4" w:space="0"/>
            </w:tcBorders>
            <w:shd w:val="clear" w:color="auto" w:fill="auto"/>
            <w:vAlign w:val="center"/>
          </w:tcPr>
          <w:p w14:paraId="2B601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2" w:type="pct"/>
            <w:tcBorders>
              <w:top w:val="single" w:color="000000" w:sz="4" w:space="0"/>
              <w:left w:val="single" w:color="000000" w:sz="4" w:space="0"/>
              <w:bottom w:val="nil"/>
              <w:right w:val="single" w:color="000000" w:sz="4" w:space="0"/>
            </w:tcBorders>
            <w:shd w:val="clear" w:color="auto" w:fill="auto"/>
            <w:vAlign w:val="center"/>
          </w:tcPr>
          <w:p w14:paraId="34B8CA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2" w:type="pct"/>
            <w:tcBorders>
              <w:top w:val="single" w:color="000000" w:sz="4" w:space="0"/>
              <w:left w:val="single" w:color="000000" w:sz="4" w:space="0"/>
              <w:bottom w:val="nil"/>
              <w:right w:val="single" w:color="000000" w:sz="4" w:space="0"/>
            </w:tcBorders>
            <w:shd w:val="clear" w:color="auto" w:fill="auto"/>
            <w:vAlign w:val="center"/>
          </w:tcPr>
          <w:p w14:paraId="5F097A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06" w:type="pct"/>
            <w:tcBorders>
              <w:top w:val="single" w:color="000000" w:sz="4" w:space="0"/>
              <w:left w:val="single" w:color="000000" w:sz="4" w:space="0"/>
              <w:bottom w:val="nil"/>
              <w:right w:val="single" w:color="000000" w:sz="4" w:space="0"/>
            </w:tcBorders>
            <w:shd w:val="clear" w:color="auto" w:fill="auto"/>
            <w:vAlign w:val="center"/>
          </w:tcPr>
          <w:p w14:paraId="0DFEC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90.40%</w:t>
            </w: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E73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考察居民满意度情况，每偏离目标值1%，扣除权重分的5%，扣完为止。</w:t>
            </w:r>
          </w:p>
        </w:tc>
      </w:tr>
      <w:tr w14:paraId="79A1D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90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1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310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7DC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99.32</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7ADA1">
            <w:pPr>
              <w:rPr>
                <w:rFonts w:hint="eastAsia" w:ascii="宋体" w:hAnsi="宋体" w:eastAsia="宋体" w:cs="宋体"/>
                <w:i w:val="0"/>
                <w:iCs w:val="0"/>
                <w:color w:val="000000"/>
                <w:sz w:val="22"/>
                <w:szCs w:val="22"/>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275C">
            <w:pPr>
              <w:rPr>
                <w:rFonts w:hint="eastAsia" w:ascii="宋体" w:hAnsi="宋体" w:eastAsia="宋体" w:cs="宋体"/>
                <w:i w:val="0"/>
                <w:iCs w:val="0"/>
                <w:color w:val="000000"/>
                <w:sz w:val="18"/>
                <w:szCs w:val="18"/>
                <w:u w:val="none"/>
              </w:rPr>
            </w:pPr>
          </w:p>
        </w:tc>
        <w:tc>
          <w:tcPr>
            <w:tcW w:w="1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09361">
            <w:pPr>
              <w:rPr>
                <w:rFonts w:hint="eastAsia" w:ascii="宋体" w:hAnsi="宋体" w:eastAsia="宋体" w:cs="宋体"/>
                <w:i w:val="0"/>
                <w:iCs w:val="0"/>
                <w:color w:val="000000"/>
                <w:sz w:val="18"/>
                <w:szCs w:val="18"/>
                <w:u w:val="none"/>
              </w:rPr>
            </w:pPr>
          </w:p>
        </w:tc>
      </w:tr>
    </w:tbl>
    <w:p w14:paraId="75CE6E13">
      <w:pPr>
        <w:pStyle w:val="8"/>
        <w:rPr>
          <w:rFonts w:hint="default"/>
          <w:lang w:val="en-US" w:eastAsia="zh-CN"/>
        </w:rPr>
      </w:pPr>
    </w:p>
    <w:p w14:paraId="4CD8E0AF">
      <w:pPr>
        <w:pStyle w:val="8"/>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F4379B5">
      <w:pPr>
        <w:pStyle w:val="6"/>
      </w:pPr>
      <w:r>
        <w:rPr>
          <w:rStyle w:val="13"/>
          <w:rFonts w:hint="eastAsia"/>
        </w:rPr>
        <w:t>【1】</w:t>
      </w:r>
      <w:r>
        <w:rPr>
          <w:rFonts w:hint="eastAsia"/>
        </w:rPr>
        <w:t>如无特殊说明，均为年度财务决算数据，以下同。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1CFE6"/>
    <w:multiLevelType w:val="singleLevel"/>
    <w:tmpl w:val="DDF1CFE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M2Y0YzJlMDZjOTZlYjQyY2FmMjQ5N2ZkMDEwMDcifQ=="/>
  </w:docVars>
  <w:rsids>
    <w:rsidRoot w:val="0E884DBF"/>
    <w:rsid w:val="00007BA1"/>
    <w:rsid w:val="000246F2"/>
    <w:rsid w:val="000D5413"/>
    <w:rsid w:val="000F6BF3"/>
    <w:rsid w:val="001B1808"/>
    <w:rsid w:val="00254ACA"/>
    <w:rsid w:val="002D27F3"/>
    <w:rsid w:val="002F59B1"/>
    <w:rsid w:val="0031432B"/>
    <w:rsid w:val="003446C1"/>
    <w:rsid w:val="00405546"/>
    <w:rsid w:val="0042480E"/>
    <w:rsid w:val="004B6BA6"/>
    <w:rsid w:val="0057284E"/>
    <w:rsid w:val="005E20C1"/>
    <w:rsid w:val="00640182"/>
    <w:rsid w:val="00670A87"/>
    <w:rsid w:val="00680335"/>
    <w:rsid w:val="00695A79"/>
    <w:rsid w:val="00731EDA"/>
    <w:rsid w:val="007B1F52"/>
    <w:rsid w:val="00800151"/>
    <w:rsid w:val="008141DB"/>
    <w:rsid w:val="0081775B"/>
    <w:rsid w:val="008A0550"/>
    <w:rsid w:val="008F1794"/>
    <w:rsid w:val="00920AD0"/>
    <w:rsid w:val="00920B9F"/>
    <w:rsid w:val="00921310"/>
    <w:rsid w:val="00945312"/>
    <w:rsid w:val="00A93DB7"/>
    <w:rsid w:val="00AA36D4"/>
    <w:rsid w:val="00B61D1F"/>
    <w:rsid w:val="00B70AE4"/>
    <w:rsid w:val="00BB1814"/>
    <w:rsid w:val="00C3117A"/>
    <w:rsid w:val="00C52737"/>
    <w:rsid w:val="00CE2229"/>
    <w:rsid w:val="00DA02FF"/>
    <w:rsid w:val="00DA6D17"/>
    <w:rsid w:val="00E67620"/>
    <w:rsid w:val="00EA7BB5"/>
    <w:rsid w:val="00EB0B5C"/>
    <w:rsid w:val="00EC7673"/>
    <w:rsid w:val="00F15CFB"/>
    <w:rsid w:val="00F45FED"/>
    <w:rsid w:val="00FD21F8"/>
    <w:rsid w:val="01296E4E"/>
    <w:rsid w:val="013F28E9"/>
    <w:rsid w:val="01512F82"/>
    <w:rsid w:val="0163050E"/>
    <w:rsid w:val="01764136"/>
    <w:rsid w:val="01E0478F"/>
    <w:rsid w:val="02234209"/>
    <w:rsid w:val="02443245"/>
    <w:rsid w:val="025E1CF8"/>
    <w:rsid w:val="029831A8"/>
    <w:rsid w:val="029E27FA"/>
    <w:rsid w:val="02A23357"/>
    <w:rsid w:val="02AD2CE7"/>
    <w:rsid w:val="02B62269"/>
    <w:rsid w:val="02B72313"/>
    <w:rsid w:val="02B72ACA"/>
    <w:rsid w:val="02E6020C"/>
    <w:rsid w:val="02E9495F"/>
    <w:rsid w:val="02FA25E6"/>
    <w:rsid w:val="031B150C"/>
    <w:rsid w:val="032723E6"/>
    <w:rsid w:val="033B32A4"/>
    <w:rsid w:val="03401A44"/>
    <w:rsid w:val="034322AB"/>
    <w:rsid w:val="035E2F51"/>
    <w:rsid w:val="03DA392F"/>
    <w:rsid w:val="03E221BF"/>
    <w:rsid w:val="04932839"/>
    <w:rsid w:val="04A93D69"/>
    <w:rsid w:val="04BC1C77"/>
    <w:rsid w:val="04C35336"/>
    <w:rsid w:val="04F51145"/>
    <w:rsid w:val="0527702A"/>
    <w:rsid w:val="052A49F0"/>
    <w:rsid w:val="055D04DE"/>
    <w:rsid w:val="0598788C"/>
    <w:rsid w:val="059D7C11"/>
    <w:rsid w:val="059F787D"/>
    <w:rsid w:val="05A009CA"/>
    <w:rsid w:val="05C45AF6"/>
    <w:rsid w:val="0617290E"/>
    <w:rsid w:val="063F3A2C"/>
    <w:rsid w:val="06607BA2"/>
    <w:rsid w:val="066309E4"/>
    <w:rsid w:val="066524F3"/>
    <w:rsid w:val="067C47FF"/>
    <w:rsid w:val="06981C89"/>
    <w:rsid w:val="06A2500E"/>
    <w:rsid w:val="06B940DF"/>
    <w:rsid w:val="06FE26B8"/>
    <w:rsid w:val="070455B1"/>
    <w:rsid w:val="07093CEA"/>
    <w:rsid w:val="070A569A"/>
    <w:rsid w:val="07145D9B"/>
    <w:rsid w:val="07251489"/>
    <w:rsid w:val="076D2EBB"/>
    <w:rsid w:val="078668A8"/>
    <w:rsid w:val="078D1C34"/>
    <w:rsid w:val="07AA41C1"/>
    <w:rsid w:val="07AE5C2F"/>
    <w:rsid w:val="07AF1844"/>
    <w:rsid w:val="07E031FA"/>
    <w:rsid w:val="07EE4440"/>
    <w:rsid w:val="0817012A"/>
    <w:rsid w:val="08524CDC"/>
    <w:rsid w:val="08624E8E"/>
    <w:rsid w:val="087F2332"/>
    <w:rsid w:val="088C5C2F"/>
    <w:rsid w:val="08927A10"/>
    <w:rsid w:val="08B02817"/>
    <w:rsid w:val="08D44592"/>
    <w:rsid w:val="08EF6D13"/>
    <w:rsid w:val="08F117A7"/>
    <w:rsid w:val="08F95174"/>
    <w:rsid w:val="09014DB8"/>
    <w:rsid w:val="090D4F35"/>
    <w:rsid w:val="09BF748F"/>
    <w:rsid w:val="09E03AB1"/>
    <w:rsid w:val="09FC61A9"/>
    <w:rsid w:val="0A030639"/>
    <w:rsid w:val="0A0E75A7"/>
    <w:rsid w:val="0A1C15B2"/>
    <w:rsid w:val="0A781814"/>
    <w:rsid w:val="0AD56CB2"/>
    <w:rsid w:val="0AE54EBE"/>
    <w:rsid w:val="0B0A50C1"/>
    <w:rsid w:val="0B745930"/>
    <w:rsid w:val="0B874445"/>
    <w:rsid w:val="0BDB2CC0"/>
    <w:rsid w:val="0BE743EE"/>
    <w:rsid w:val="0BE913E8"/>
    <w:rsid w:val="0C23716C"/>
    <w:rsid w:val="0C6A620F"/>
    <w:rsid w:val="0C9E6F9D"/>
    <w:rsid w:val="0CEF6092"/>
    <w:rsid w:val="0DB56EFD"/>
    <w:rsid w:val="0DB71DD0"/>
    <w:rsid w:val="0DD5333F"/>
    <w:rsid w:val="0DE45FA3"/>
    <w:rsid w:val="0E0725BE"/>
    <w:rsid w:val="0E200B2B"/>
    <w:rsid w:val="0E347D82"/>
    <w:rsid w:val="0E7A40CC"/>
    <w:rsid w:val="0E884DBF"/>
    <w:rsid w:val="0EA31EC7"/>
    <w:rsid w:val="0EB62A4A"/>
    <w:rsid w:val="0EBB2C48"/>
    <w:rsid w:val="0EC25E0A"/>
    <w:rsid w:val="0EE41CEC"/>
    <w:rsid w:val="0EF14751"/>
    <w:rsid w:val="0F084AA8"/>
    <w:rsid w:val="0F0D4E33"/>
    <w:rsid w:val="0F1D4180"/>
    <w:rsid w:val="0F207836"/>
    <w:rsid w:val="0F352CB7"/>
    <w:rsid w:val="0F5B3D2D"/>
    <w:rsid w:val="0F5C5D92"/>
    <w:rsid w:val="0F8A62CC"/>
    <w:rsid w:val="0FAD5B6A"/>
    <w:rsid w:val="0FB54CE0"/>
    <w:rsid w:val="0FC74A63"/>
    <w:rsid w:val="0FEE0173"/>
    <w:rsid w:val="103C7437"/>
    <w:rsid w:val="1047199A"/>
    <w:rsid w:val="106917CE"/>
    <w:rsid w:val="10692694"/>
    <w:rsid w:val="108C734C"/>
    <w:rsid w:val="10B4086A"/>
    <w:rsid w:val="10CA22C1"/>
    <w:rsid w:val="10DB037F"/>
    <w:rsid w:val="10E62C91"/>
    <w:rsid w:val="10FF5A4B"/>
    <w:rsid w:val="1120216E"/>
    <w:rsid w:val="112110F8"/>
    <w:rsid w:val="11217890"/>
    <w:rsid w:val="112336F1"/>
    <w:rsid w:val="11371887"/>
    <w:rsid w:val="113F58ED"/>
    <w:rsid w:val="1160655D"/>
    <w:rsid w:val="116E79DA"/>
    <w:rsid w:val="11761D23"/>
    <w:rsid w:val="11910262"/>
    <w:rsid w:val="11B80406"/>
    <w:rsid w:val="11B935B1"/>
    <w:rsid w:val="11CE1D49"/>
    <w:rsid w:val="11CF3A4A"/>
    <w:rsid w:val="11D86F3A"/>
    <w:rsid w:val="11F93F15"/>
    <w:rsid w:val="121830F2"/>
    <w:rsid w:val="123010D3"/>
    <w:rsid w:val="123F0A6D"/>
    <w:rsid w:val="126636A3"/>
    <w:rsid w:val="12C26D0C"/>
    <w:rsid w:val="12D047E7"/>
    <w:rsid w:val="12D370F1"/>
    <w:rsid w:val="12D54646"/>
    <w:rsid w:val="13032816"/>
    <w:rsid w:val="135326DB"/>
    <w:rsid w:val="13713982"/>
    <w:rsid w:val="13720BC7"/>
    <w:rsid w:val="13856CBF"/>
    <w:rsid w:val="13FF422D"/>
    <w:rsid w:val="144B5EF1"/>
    <w:rsid w:val="14A029DF"/>
    <w:rsid w:val="14A5789F"/>
    <w:rsid w:val="14C03C05"/>
    <w:rsid w:val="14EC6AAE"/>
    <w:rsid w:val="156406D8"/>
    <w:rsid w:val="158C38FE"/>
    <w:rsid w:val="159140B1"/>
    <w:rsid w:val="15AD4A93"/>
    <w:rsid w:val="15B84E69"/>
    <w:rsid w:val="15D66A23"/>
    <w:rsid w:val="15D73CD8"/>
    <w:rsid w:val="15F778EF"/>
    <w:rsid w:val="16053DC9"/>
    <w:rsid w:val="1620409A"/>
    <w:rsid w:val="16321C94"/>
    <w:rsid w:val="164A3F37"/>
    <w:rsid w:val="165D7CEB"/>
    <w:rsid w:val="16A05152"/>
    <w:rsid w:val="16C43AA4"/>
    <w:rsid w:val="16D96885"/>
    <w:rsid w:val="16F5729B"/>
    <w:rsid w:val="170571D5"/>
    <w:rsid w:val="17076774"/>
    <w:rsid w:val="173D4C06"/>
    <w:rsid w:val="176142C0"/>
    <w:rsid w:val="177D598B"/>
    <w:rsid w:val="17900563"/>
    <w:rsid w:val="17A24BDA"/>
    <w:rsid w:val="17DD4180"/>
    <w:rsid w:val="17E5674E"/>
    <w:rsid w:val="17ED5EA3"/>
    <w:rsid w:val="1831582E"/>
    <w:rsid w:val="18343DBF"/>
    <w:rsid w:val="184515B4"/>
    <w:rsid w:val="18662188"/>
    <w:rsid w:val="18C50B29"/>
    <w:rsid w:val="18CF1525"/>
    <w:rsid w:val="191A0250"/>
    <w:rsid w:val="19342967"/>
    <w:rsid w:val="19605006"/>
    <w:rsid w:val="196C61C4"/>
    <w:rsid w:val="19BA2B49"/>
    <w:rsid w:val="19ED6C17"/>
    <w:rsid w:val="1A1440B4"/>
    <w:rsid w:val="1A5329D7"/>
    <w:rsid w:val="1A657416"/>
    <w:rsid w:val="1A8533BB"/>
    <w:rsid w:val="1ABB6B50"/>
    <w:rsid w:val="1B416428"/>
    <w:rsid w:val="1B6C7C5A"/>
    <w:rsid w:val="1B891160"/>
    <w:rsid w:val="1B9A09D6"/>
    <w:rsid w:val="1BA3418F"/>
    <w:rsid w:val="1BC07BFC"/>
    <w:rsid w:val="1C135815"/>
    <w:rsid w:val="1C143797"/>
    <w:rsid w:val="1C381A1F"/>
    <w:rsid w:val="1C3C281D"/>
    <w:rsid w:val="1C5D079B"/>
    <w:rsid w:val="1C786788"/>
    <w:rsid w:val="1C7867E3"/>
    <w:rsid w:val="1C986328"/>
    <w:rsid w:val="1C9A7F53"/>
    <w:rsid w:val="1CA470E0"/>
    <w:rsid w:val="1CB5035E"/>
    <w:rsid w:val="1CB70CBE"/>
    <w:rsid w:val="1CC40270"/>
    <w:rsid w:val="1CF338EF"/>
    <w:rsid w:val="1CFB6627"/>
    <w:rsid w:val="1D0D366C"/>
    <w:rsid w:val="1D146D3F"/>
    <w:rsid w:val="1D567FF3"/>
    <w:rsid w:val="1D7C03E3"/>
    <w:rsid w:val="1DC62F21"/>
    <w:rsid w:val="1DF61D0E"/>
    <w:rsid w:val="1E0448BE"/>
    <w:rsid w:val="1E190B6A"/>
    <w:rsid w:val="1E600AFA"/>
    <w:rsid w:val="1E6C0066"/>
    <w:rsid w:val="1E745F07"/>
    <w:rsid w:val="1E8277F9"/>
    <w:rsid w:val="1E8F5DF4"/>
    <w:rsid w:val="1EC803F6"/>
    <w:rsid w:val="1ED174A9"/>
    <w:rsid w:val="1ED64C7F"/>
    <w:rsid w:val="1EEA77B6"/>
    <w:rsid w:val="1F015B98"/>
    <w:rsid w:val="1F1169E9"/>
    <w:rsid w:val="1F1B4C58"/>
    <w:rsid w:val="1F323F87"/>
    <w:rsid w:val="1F354BD8"/>
    <w:rsid w:val="1F360F0E"/>
    <w:rsid w:val="1F7408A7"/>
    <w:rsid w:val="1FBE7EF9"/>
    <w:rsid w:val="1FDA0468"/>
    <w:rsid w:val="1FEB39DB"/>
    <w:rsid w:val="200D648F"/>
    <w:rsid w:val="202A24AB"/>
    <w:rsid w:val="203B1F94"/>
    <w:rsid w:val="203C2318"/>
    <w:rsid w:val="205648BA"/>
    <w:rsid w:val="2064787F"/>
    <w:rsid w:val="20AA75AD"/>
    <w:rsid w:val="21152F57"/>
    <w:rsid w:val="212F7ED7"/>
    <w:rsid w:val="21580871"/>
    <w:rsid w:val="21591A23"/>
    <w:rsid w:val="21AD4A76"/>
    <w:rsid w:val="21C13F16"/>
    <w:rsid w:val="22062281"/>
    <w:rsid w:val="220E72B8"/>
    <w:rsid w:val="222D322D"/>
    <w:rsid w:val="226863B2"/>
    <w:rsid w:val="227741DE"/>
    <w:rsid w:val="2291341D"/>
    <w:rsid w:val="22E23B92"/>
    <w:rsid w:val="232E06BE"/>
    <w:rsid w:val="232E3311"/>
    <w:rsid w:val="233D4B0A"/>
    <w:rsid w:val="23545636"/>
    <w:rsid w:val="238F2441"/>
    <w:rsid w:val="23A24D11"/>
    <w:rsid w:val="242119D1"/>
    <w:rsid w:val="248C067A"/>
    <w:rsid w:val="248C0936"/>
    <w:rsid w:val="2491512A"/>
    <w:rsid w:val="24B10D7F"/>
    <w:rsid w:val="24FB0930"/>
    <w:rsid w:val="257B16EA"/>
    <w:rsid w:val="25AE2C68"/>
    <w:rsid w:val="25C12D38"/>
    <w:rsid w:val="25DB3E1D"/>
    <w:rsid w:val="25E0235A"/>
    <w:rsid w:val="25E420B1"/>
    <w:rsid w:val="26175CC4"/>
    <w:rsid w:val="26C704B4"/>
    <w:rsid w:val="26D10126"/>
    <w:rsid w:val="26F66C90"/>
    <w:rsid w:val="27193347"/>
    <w:rsid w:val="27811FE0"/>
    <w:rsid w:val="2790224F"/>
    <w:rsid w:val="279E42E0"/>
    <w:rsid w:val="27B824D1"/>
    <w:rsid w:val="27EB53E4"/>
    <w:rsid w:val="27F66B58"/>
    <w:rsid w:val="27F808A4"/>
    <w:rsid w:val="281621B2"/>
    <w:rsid w:val="282708C3"/>
    <w:rsid w:val="28321A09"/>
    <w:rsid w:val="28494BC9"/>
    <w:rsid w:val="28621B2E"/>
    <w:rsid w:val="28842A0B"/>
    <w:rsid w:val="28BF7A45"/>
    <w:rsid w:val="28E13D12"/>
    <w:rsid w:val="29346DB1"/>
    <w:rsid w:val="29447341"/>
    <w:rsid w:val="29AA648C"/>
    <w:rsid w:val="29C84556"/>
    <w:rsid w:val="29E67568"/>
    <w:rsid w:val="29FE3B54"/>
    <w:rsid w:val="2A2670DE"/>
    <w:rsid w:val="2A7C15E3"/>
    <w:rsid w:val="2AB60816"/>
    <w:rsid w:val="2AD63D5F"/>
    <w:rsid w:val="2AEB4B7F"/>
    <w:rsid w:val="2AF053D9"/>
    <w:rsid w:val="2B1D6F92"/>
    <w:rsid w:val="2B2E0235"/>
    <w:rsid w:val="2B3F0F86"/>
    <w:rsid w:val="2B57365D"/>
    <w:rsid w:val="2B774C22"/>
    <w:rsid w:val="2B92728F"/>
    <w:rsid w:val="2BCA44E3"/>
    <w:rsid w:val="2BD563B1"/>
    <w:rsid w:val="2BFA6A0B"/>
    <w:rsid w:val="2C9E028B"/>
    <w:rsid w:val="2CB57C46"/>
    <w:rsid w:val="2CDB18A4"/>
    <w:rsid w:val="2D0B3D9E"/>
    <w:rsid w:val="2D19473B"/>
    <w:rsid w:val="2D342DCB"/>
    <w:rsid w:val="2D78778A"/>
    <w:rsid w:val="2DA7108A"/>
    <w:rsid w:val="2DB660F6"/>
    <w:rsid w:val="2DC148A8"/>
    <w:rsid w:val="2DC41260"/>
    <w:rsid w:val="2DEB25C9"/>
    <w:rsid w:val="2E130176"/>
    <w:rsid w:val="2E433539"/>
    <w:rsid w:val="2E574FDC"/>
    <w:rsid w:val="2ED05150"/>
    <w:rsid w:val="2EE362F7"/>
    <w:rsid w:val="2F3A5F92"/>
    <w:rsid w:val="2F413BF7"/>
    <w:rsid w:val="2F7C5BC2"/>
    <w:rsid w:val="2F7F4038"/>
    <w:rsid w:val="2FAA2102"/>
    <w:rsid w:val="2FC511BC"/>
    <w:rsid w:val="2FC55859"/>
    <w:rsid w:val="2FD063F6"/>
    <w:rsid w:val="2FD857CB"/>
    <w:rsid w:val="2FE142A3"/>
    <w:rsid w:val="3021203B"/>
    <w:rsid w:val="302B68C7"/>
    <w:rsid w:val="303A6B8E"/>
    <w:rsid w:val="3048184E"/>
    <w:rsid w:val="309409D8"/>
    <w:rsid w:val="309B0B12"/>
    <w:rsid w:val="30A24E2F"/>
    <w:rsid w:val="30AD01D5"/>
    <w:rsid w:val="30F660D5"/>
    <w:rsid w:val="31050F6F"/>
    <w:rsid w:val="310D1F10"/>
    <w:rsid w:val="316A5D64"/>
    <w:rsid w:val="318D14D7"/>
    <w:rsid w:val="319A5B28"/>
    <w:rsid w:val="31A63ED8"/>
    <w:rsid w:val="32156D93"/>
    <w:rsid w:val="322A53D5"/>
    <w:rsid w:val="32307BBE"/>
    <w:rsid w:val="328C1D58"/>
    <w:rsid w:val="329223AC"/>
    <w:rsid w:val="32C32A68"/>
    <w:rsid w:val="32E0072B"/>
    <w:rsid w:val="32E71DDC"/>
    <w:rsid w:val="33323B80"/>
    <w:rsid w:val="335612D2"/>
    <w:rsid w:val="335674A3"/>
    <w:rsid w:val="337215C5"/>
    <w:rsid w:val="33855662"/>
    <w:rsid w:val="33B344D7"/>
    <w:rsid w:val="33EE6B90"/>
    <w:rsid w:val="341320F7"/>
    <w:rsid w:val="341E3BB2"/>
    <w:rsid w:val="34226FB7"/>
    <w:rsid w:val="3487484B"/>
    <w:rsid w:val="3493272D"/>
    <w:rsid w:val="34CE2DFE"/>
    <w:rsid w:val="350729B9"/>
    <w:rsid w:val="35131D36"/>
    <w:rsid w:val="358214A9"/>
    <w:rsid w:val="35A62392"/>
    <w:rsid w:val="35A93F44"/>
    <w:rsid w:val="35C615A2"/>
    <w:rsid w:val="35E766DF"/>
    <w:rsid w:val="362F320C"/>
    <w:rsid w:val="3648780D"/>
    <w:rsid w:val="36901ED7"/>
    <w:rsid w:val="36D523BB"/>
    <w:rsid w:val="36DB1697"/>
    <w:rsid w:val="36EF7732"/>
    <w:rsid w:val="371C3774"/>
    <w:rsid w:val="373A6261"/>
    <w:rsid w:val="378526EE"/>
    <w:rsid w:val="37901D19"/>
    <w:rsid w:val="379B54F8"/>
    <w:rsid w:val="37C23957"/>
    <w:rsid w:val="37CB2262"/>
    <w:rsid w:val="37CD162E"/>
    <w:rsid w:val="37FD6D42"/>
    <w:rsid w:val="37FF3756"/>
    <w:rsid w:val="3883286D"/>
    <w:rsid w:val="38A72A55"/>
    <w:rsid w:val="38A84C79"/>
    <w:rsid w:val="38CF790B"/>
    <w:rsid w:val="38DB1E0C"/>
    <w:rsid w:val="391E119C"/>
    <w:rsid w:val="394243CF"/>
    <w:rsid w:val="3961082D"/>
    <w:rsid w:val="396D0A96"/>
    <w:rsid w:val="39862012"/>
    <w:rsid w:val="39B046A4"/>
    <w:rsid w:val="39DD271E"/>
    <w:rsid w:val="3A137C9C"/>
    <w:rsid w:val="3A393B73"/>
    <w:rsid w:val="3AAA05D9"/>
    <w:rsid w:val="3AC32BDD"/>
    <w:rsid w:val="3AC9017C"/>
    <w:rsid w:val="3AD90819"/>
    <w:rsid w:val="3AE00833"/>
    <w:rsid w:val="3AE30361"/>
    <w:rsid w:val="3B3170F4"/>
    <w:rsid w:val="3B324530"/>
    <w:rsid w:val="3BA01BCE"/>
    <w:rsid w:val="3BE11A31"/>
    <w:rsid w:val="3BE45445"/>
    <w:rsid w:val="3BE9386E"/>
    <w:rsid w:val="3C3E13E5"/>
    <w:rsid w:val="3C3F49A2"/>
    <w:rsid w:val="3C8A2674"/>
    <w:rsid w:val="3C916352"/>
    <w:rsid w:val="3CA104B8"/>
    <w:rsid w:val="3CD60CF0"/>
    <w:rsid w:val="3D433A43"/>
    <w:rsid w:val="3D46401B"/>
    <w:rsid w:val="3D4F720B"/>
    <w:rsid w:val="3D535440"/>
    <w:rsid w:val="3D756AF4"/>
    <w:rsid w:val="3D962B77"/>
    <w:rsid w:val="3DB037D3"/>
    <w:rsid w:val="3DCB1891"/>
    <w:rsid w:val="3DE90B20"/>
    <w:rsid w:val="3DFF3C4B"/>
    <w:rsid w:val="3E06759A"/>
    <w:rsid w:val="3E4B6C23"/>
    <w:rsid w:val="3E881153"/>
    <w:rsid w:val="3ED027C8"/>
    <w:rsid w:val="3ED33DBA"/>
    <w:rsid w:val="3EE32212"/>
    <w:rsid w:val="3EE97C85"/>
    <w:rsid w:val="3EF15C26"/>
    <w:rsid w:val="3F7B6E23"/>
    <w:rsid w:val="3F844027"/>
    <w:rsid w:val="3F8907C7"/>
    <w:rsid w:val="3FAD676F"/>
    <w:rsid w:val="3FB624B5"/>
    <w:rsid w:val="3FFD1C46"/>
    <w:rsid w:val="400574BE"/>
    <w:rsid w:val="401C1CED"/>
    <w:rsid w:val="40275ADE"/>
    <w:rsid w:val="402E59A1"/>
    <w:rsid w:val="40447813"/>
    <w:rsid w:val="405A22FA"/>
    <w:rsid w:val="405F25E7"/>
    <w:rsid w:val="405F61C7"/>
    <w:rsid w:val="40600D91"/>
    <w:rsid w:val="407540B2"/>
    <w:rsid w:val="40B17643"/>
    <w:rsid w:val="40C467D0"/>
    <w:rsid w:val="40E22D7A"/>
    <w:rsid w:val="40E23AD6"/>
    <w:rsid w:val="40FC4FCA"/>
    <w:rsid w:val="4101647E"/>
    <w:rsid w:val="41087384"/>
    <w:rsid w:val="41262204"/>
    <w:rsid w:val="41465E8C"/>
    <w:rsid w:val="417C1410"/>
    <w:rsid w:val="41870854"/>
    <w:rsid w:val="41DE7158"/>
    <w:rsid w:val="41EF7C18"/>
    <w:rsid w:val="41F231F2"/>
    <w:rsid w:val="42175DBC"/>
    <w:rsid w:val="42A30ACD"/>
    <w:rsid w:val="42AF5A31"/>
    <w:rsid w:val="42FF799B"/>
    <w:rsid w:val="43247163"/>
    <w:rsid w:val="43583C8D"/>
    <w:rsid w:val="435A5465"/>
    <w:rsid w:val="436828F0"/>
    <w:rsid w:val="43B14B3E"/>
    <w:rsid w:val="43F408F4"/>
    <w:rsid w:val="44161491"/>
    <w:rsid w:val="442027DA"/>
    <w:rsid w:val="443D1376"/>
    <w:rsid w:val="44C82824"/>
    <w:rsid w:val="44E77134"/>
    <w:rsid w:val="44F94D25"/>
    <w:rsid w:val="450C0A32"/>
    <w:rsid w:val="45206B67"/>
    <w:rsid w:val="45274E78"/>
    <w:rsid w:val="453A52F2"/>
    <w:rsid w:val="453E50B5"/>
    <w:rsid w:val="455E0142"/>
    <w:rsid w:val="455F73D4"/>
    <w:rsid w:val="458F3985"/>
    <w:rsid w:val="45971DB8"/>
    <w:rsid w:val="45AB3095"/>
    <w:rsid w:val="45CD1FAF"/>
    <w:rsid w:val="45D33EF2"/>
    <w:rsid w:val="45F12424"/>
    <w:rsid w:val="45FF642F"/>
    <w:rsid w:val="46103522"/>
    <w:rsid w:val="46362619"/>
    <w:rsid w:val="46572DD4"/>
    <w:rsid w:val="465A2C11"/>
    <w:rsid w:val="4666690F"/>
    <w:rsid w:val="46AB4069"/>
    <w:rsid w:val="46FA33B9"/>
    <w:rsid w:val="473D6EFE"/>
    <w:rsid w:val="48441AD3"/>
    <w:rsid w:val="4848517A"/>
    <w:rsid w:val="485B2A02"/>
    <w:rsid w:val="486E0D6F"/>
    <w:rsid w:val="489A772E"/>
    <w:rsid w:val="48A06DBD"/>
    <w:rsid w:val="48A241FB"/>
    <w:rsid w:val="48FB2FE3"/>
    <w:rsid w:val="491D440D"/>
    <w:rsid w:val="493407A5"/>
    <w:rsid w:val="495946E0"/>
    <w:rsid w:val="497E2837"/>
    <w:rsid w:val="4983694E"/>
    <w:rsid w:val="49BF0825"/>
    <w:rsid w:val="49C82548"/>
    <w:rsid w:val="49F031F4"/>
    <w:rsid w:val="4A0963F5"/>
    <w:rsid w:val="4A117169"/>
    <w:rsid w:val="4A130C9A"/>
    <w:rsid w:val="4A2A793F"/>
    <w:rsid w:val="4A791CBE"/>
    <w:rsid w:val="4A7E5C8C"/>
    <w:rsid w:val="4A864BA7"/>
    <w:rsid w:val="4A9505C5"/>
    <w:rsid w:val="4B0A4C47"/>
    <w:rsid w:val="4B201B43"/>
    <w:rsid w:val="4B340603"/>
    <w:rsid w:val="4B4E328A"/>
    <w:rsid w:val="4B623572"/>
    <w:rsid w:val="4B9B6A1F"/>
    <w:rsid w:val="4BCA0634"/>
    <w:rsid w:val="4BEF7000"/>
    <w:rsid w:val="4C125706"/>
    <w:rsid w:val="4C7D6B30"/>
    <w:rsid w:val="4C9512BD"/>
    <w:rsid w:val="4CB2310A"/>
    <w:rsid w:val="4CF031F5"/>
    <w:rsid w:val="4CF6385C"/>
    <w:rsid w:val="4D1D3AA2"/>
    <w:rsid w:val="4D2203A7"/>
    <w:rsid w:val="4D3920C2"/>
    <w:rsid w:val="4D657134"/>
    <w:rsid w:val="4D822540"/>
    <w:rsid w:val="4D8E6B2F"/>
    <w:rsid w:val="4D972EAC"/>
    <w:rsid w:val="4DE4171E"/>
    <w:rsid w:val="4DE96D5D"/>
    <w:rsid w:val="4DEC1872"/>
    <w:rsid w:val="4E0A1566"/>
    <w:rsid w:val="4E4573FA"/>
    <w:rsid w:val="4E7325AD"/>
    <w:rsid w:val="4EA54F58"/>
    <w:rsid w:val="4EC20640"/>
    <w:rsid w:val="4EF10A91"/>
    <w:rsid w:val="4EF81102"/>
    <w:rsid w:val="4EF92319"/>
    <w:rsid w:val="4EFC6443"/>
    <w:rsid w:val="4F094D56"/>
    <w:rsid w:val="4F257FBD"/>
    <w:rsid w:val="4F2D7549"/>
    <w:rsid w:val="4F39275E"/>
    <w:rsid w:val="4F3E612D"/>
    <w:rsid w:val="4F513E2F"/>
    <w:rsid w:val="4F6E7884"/>
    <w:rsid w:val="4F746168"/>
    <w:rsid w:val="4F7634D3"/>
    <w:rsid w:val="4FB9476A"/>
    <w:rsid w:val="4FCA51E9"/>
    <w:rsid w:val="4FD776DE"/>
    <w:rsid w:val="4FF664DD"/>
    <w:rsid w:val="500214E8"/>
    <w:rsid w:val="501267D5"/>
    <w:rsid w:val="50366408"/>
    <w:rsid w:val="503B09EC"/>
    <w:rsid w:val="503F7B0F"/>
    <w:rsid w:val="50536C25"/>
    <w:rsid w:val="508E2071"/>
    <w:rsid w:val="508E28F9"/>
    <w:rsid w:val="50922276"/>
    <w:rsid w:val="50BC7446"/>
    <w:rsid w:val="50CC0939"/>
    <w:rsid w:val="50EA2A4A"/>
    <w:rsid w:val="50F73F39"/>
    <w:rsid w:val="510A4C9F"/>
    <w:rsid w:val="511F74DB"/>
    <w:rsid w:val="512D2EA6"/>
    <w:rsid w:val="51416F3D"/>
    <w:rsid w:val="51522D9B"/>
    <w:rsid w:val="516C2D41"/>
    <w:rsid w:val="516F5B49"/>
    <w:rsid w:val="51BF2471"/>
    <w:rsid w:val="51BF6399"/>
    <w:rsid w:val="51ED0AB7"/>
    <w:rsid w:val="524A6929"/>
    <w:rsid w:val="525D3320"/>
    <w:rsid w:val="52835FA6"/>
    <w:rsid w:val="52902850"/>
    <w:rsid w:val="52EE1762"/>
    <w:rsid w:val="52FC79D7"/>
    <w:rsid w:val="53093F63"/>
    <w:rsid w:val="53D7212F"/>
    <w:rsid w:val="53F5109D"/>
    <w:rsid w:val="542C4814"/>
    <w:rsid w:val="54333D02"/>
    <w:rsid w:val="54464610"/>
    <w:rsid w:val="545B5B52"/>
    <w:rsid w:val="54713247"/>
    <w:rsid w:val="54742E7D"/>
    <w:rsid w:val="548D3656"/>
    <w:rsid w:val="54B33D65"/>
    <w:rsid w:val="54D623B2"/>
    <w:rsid w:val="54E147D5"/>
    <w:rsid w:val="54E93759"/>
    <w:rsid w:val="5537202C"/>
    <w:rsid w:val="55516E46"/>
    <w:rsid w:val="55560583"/>
    <w:rsid w:val="557B503F"/>
    <w:rsid w:val="55931946"/>
    <w:rsid w:val="55A8788B"/>
    <w:rsid w:val="55B47FEE"/>
    <w:rsid w:val="55C06D42"/>
    <w:rsid w:val="55C82260"/>
    <w:rsid w:val="55D162F8"/>
    <w:rsid w:val="562375DE"/>
    <w:rsid w:val="5641254D"/>
    <w:rsid w:val="564B0981"/>
    <w:rsid w:val="565C4A5E"/>
    <w:rsid w:val="56637CE7"/>
    <w:rsid w:val="567E7D0A"/>
    <w:rsid w:val="56893D28"/>
    <w:rsid w:val="56A06D38"/>
    <w:rsid w:val="56A82DBD"/>
    <w:rsid w:val="56AB61E0"/>
    <w:rsid w:val="56B347FA"/>
    <w:rsid w:val="56CB56E6"/>
    <w:rsid w:val="57062BED"/>
    <w:rsid w:val="570A5F3E"/>
    <w:rsid w:val="571A77DA"/>
    <w:rsid w:val="57440D4B"/>
    <w:rsid w:val="574462D8"/>
    <w:rsid w:val="57550791"/>
    <w:rsid w:val="575D6BB6"/>
    <w:rsid w:val="57640D0D"/>
    <w:rsid w:val="57645243"/>
    <w:rsid w:val="57693679"/>
    <w:rsid w:val="57785836"/>
    <w:rsid w:val="57C179A5"/>
    <w:rsid w:val="57F75197"/>
    <w:rsid w:val="57FA1AB0"/>
    <w:rsid w:val="58036018"/>
    <w:rsid w:val="580D33E7"/>
    <w:rsid w:val="581659F3"/>
    <w:rsid w:val="58211665"/>
    <w:rsid w:val="585F012C"/>
    <w:rsid w:val="587E43EF"/>
    <w:rsid w:val="58B2553C"/>
    <w:rsid w:val="58C739A6"/>
    <w:rsid w:val="58D0123D"/>
    <w:rsid w:val="58D462FC"/>
    <w:rsid w:val="59055F6A"/>
    <w:rsid w:val="592D6DA9"/>
    <w:rsid w:val="59367CA8"/>
    <w:rsid w:val="5953243F"/>
    <w:rsid w:val="59B13C3C"/>
    <w:rsid w:val="59C04E99"/>
    <w:rsid w:val="5A303441"/>
    <w:rsid w:val="5A6F6F49"/>
    <w:rsid w:val="5A811620"/>
    <w:rsid w:val="5A8956C9"/>
    <w:rsid w:val="5A965826"/>
    <w:rsid w:val="5ADF2BB1"/>
    <w:rsid w:val="5B080C4A"/>
    <w:rsid w:val="5BAD4308"/>
    <w:rsid w:val="5BCD0331"/>
    <w:rsid w:val="5BEA08AB"/>
    <w:rsid w:val="5BEA4350"/>
    <w:rsid w:val="5C3570E3"/>
    <w:rsid w:val="5C3C70A5"/>
    <w:rsid w:val="5C652379"/>
    <w:rsid w:val="5C71363C"/>
    <w:rsid w:val="5C8B49FF"/>
    <w:rsid w:val="5CA45102"/>
    <w:rsid w:val="5CE95FC1"/>
    <w:rsid w:val="5CFD12FD"/>
    <w:rsid w:val="5D2B0098"/>
    <w:rsid w:val="5D560C73"/>
    <w:rsid w:val="5D7A0B88"/>
    <w:rsid w:val="5D926EBA"/>
    <w:rsid w:val="5D932285"/>
    <w:rsid w:val="5DBD54B9"/>
    <w:rsid w:val="5DC414CF"/>
    <w:rsid w:val="5E1E59D5"/>
    <w:rsid w:val="5E9A1DEE"/>
    <w:rsid w:val="5EC634DE"/>
    <w:rsid w:val="5ED7390E"/>
    <w:rsid w:val="5EE86362"/>
    <w:rsid w:val="5EF86AA4"/>
    <w:rsid w:val="5F1F460C"/>
    <w:rsid w:val="5F2043A8"/>
    <w:rsid w:val="5F4D6B17"/>
    <w:rsid w:val="5F884D79"/>
    <w:rsid w:val="5FD13CBE"/>
    <w:rsid w:val="5FE35633"/>
    <w:rsid w:val="5FE63AA0"/>
    <w:rsid w:val="5FED5DEB"/>
    <w:rsid w:val="5FF87F75"/>
    <w:rsid w:val="6002308C"/>
    <w:rsid w:val="60410C81"/>
    <w:rsid w:val="60743E94"/>
    <w:rsid w:val="60795A33"/>
    <w:rsid w:val="608D5181"/>
    <w:rsid w:val="60995493"/>
    <w:rsid w:val="60CF7875"/>
    <w:rsid w:val="60E30B2D"/>
    <w:rsid w:val="60E86E17"/>
    <w:rsid w:val="60E91030"/>
    <w:rsid w:val="60F01A2E"/>
    <w:rsid w:val="60F07C0E"/>
    <w:rsid w:val="610F6302"/>
    <w:rsid w:val="612800B5"/>
    <w:rsid w:val="61291922"/>
    <w:rsid w:val="612A5E56"/>
    <w:rsid w:val="613A5E0F"/>
    <w:rsid w:val="613C2E82"/>
    <w:rsid w:val="61443240"/>
    <w:rsid w:val="615C5B08"/>
    <w:rsid w:val="61830B6C"/>
    <w:rsid w:val="61C41455"/>
    <w:rsid w:val="61DC4A55"/>
    <w:rsid w:val="61DE51D0"/>
    <w:rsid w:val="61E00A2B"/>
    <w:rsid w:val="61E81AB5"/>
    <w:rsid w:val="620319FB"/>
    <w:rsid w:val="62163AC7"/>
    <w:rsid w:val="627629B8"/>
    <w:rsid w:val="627B4528"/>
    <w:rsid w:val="62FB67D7"/>
    <w:rsid w:val="635B38F6"/>
    <w:rsid w:val="637C558C"/>
    <w:rsid w:val="638D08AB"/>
    <w:rsid w:val="63E96411"/>
    <w:rsid w:val="641921C0"/>
    <w:rsid w:val="64296F66"/>
    <w:rsid w:val="644C31AA"/>
    <w:rsid w:val="64593788"/>
    <w:rsid w:val="64620644"/>
    <w:rsid w:val="646A24C6"/>
    <w:rsid w:val="64952C0C"/>
    <w:rsid w:val="64A9050B"/>
    <w:rsid w:val="64B441FB"/>
    <w:rsid w:val="64BE6000"/>
    <w:rsid w:val="64E72EF0"/>
    <w:rsid w:val="64EC6D75"/>
    <w:rsid w:val="64F80BD1"/>
    <w:rsid w:val="65065ECD"/>
    <w:rsid w:val="650B6B6C"/>
    <w:rsid w:val="651D1159"/>
    <w:rsid w:val="65366F4D"/>
    <w:rsid w:val="653E361D"/>
    <w:rsid w:val="65B349B4"/>
    <w:rsid w:val="65C02FF5"/>
    <w:rsid w:val="65F50A31"/>
    <w:rsid w:val="65F66897"/>
    <w:rsid w:val="660014E8"/>
    <w:rsid w:val="660B628E"/>
    <w:rsid w:val="66147659"/>
    <w:rsid w:val="661B67EC"/>
    <w:rsid w:val="665344CA"/>
    <w:rsid w:val="666F30C4"/>
    <w:rsid w:val="6687359F"/>
    <w:rsid w:val="66B17DA6"/>
    <w:rsid w:val="66CC40CF"/>
    <w:rsid w:val="66F04BB7"/>
    <w:rsid w:val="67131A19"/>
    <w:rsid w:val="671A3B86"/>
    <w:rsid w:val="67396E92"/>
    <w:rsid w:val="67596BA3"/>
    <w:rsid w:val="67874571"/>
    <w:rsid w:val="67C85F45"/>
    <w:rsid w:val="67CE7B78"/>
    <w:rsid w:val="67DC3F06"/>
    <w:rsid w:val="67E171D2"/>
    <w:rsid w:val="67E61E6D"/>
    <w:rsid w:val="67ED26AF"/>
    <w:rsid w:val="67F2707E"/>
    <w:rsid w:val="680C4C39"/>
    <w:rsid w:val="681E6100"/>
    <w:rsid w:val="68292D84"/>
    <w:rsid w:val="68423154"/>
    <w:rsid w:val="68707EE0"/>
    <w:rsid w:val="687C7550"/>
    <w:rsid w:val="68B31743"/>
    <w:rsid w:val="69067597"/>
    <w:rsid w:val="6925208B"/>
    <w:rsid w:val="69426562"/>
    <w:rsid w:val="69A8502E"/>
    <w:rsid w:val="69BE67DA"/>
    <w:rsid w:val="69FF7039"/>
    <w:rsid w:val="6A091A50"/>
    <w:rsid w:val="6A104232"/>
    <w:rsid w:val="6A493362"/>
    <w:rsid w:val="6A895FAB"/>
    <w:rsid w:val="6AD35F0D"/>
    <w:rsid w:val="6AF46793"/>
    <w:rsid w:val="6B4F3B58"/>
    <w:rsid w:val="6B65321E"/>
    <w:rsid w:val="6B9F336C"/>
    <w:rsid w:val="6BA22514"/>
    <w:rsid w:val="6BB5779F"/>
    <w:rsid w:val="6BCD13D7"/>
    <w:rsid w:val="6BD167C8"/>
    <w:rsid w:val="6BE049F8"/>
    <w:rsid w:val="6C130896"/>
    <w:rsid w:val="6C3E5C7E"/>
    <w:rsid w:val="6C483F83"/>
    <w:rsid w:val="6C584162"/>
    <w:rsid w:val="6C8106F7"/>
    <w:rsid w:val="6C993921"/>
    <w:rsid w:val="6CA421BD"/>
    <w:rsid w:val="6CA425A6"/>
    <w:rsid w:val="6CB609A1"/>
    <w:rsid w:val="6D4D493C"/>
    <w:rsid w:val="6D510824"/>
    <w:rsid w:val="6D5B25D0"/>
    <w:rsid w:val="6D662F5E"/>
    <w:rsid w:val="6D9A1546"/>
    <w:rsid w:val="6DA57EB1"/>
    <w:rsid w:val="6DB51E2F"/>
    <w:rsid w:val="6DB94E85"/>
    <w:rsid w:val="6DC355E3"/>
    <w:rsid w:val="6DC6025C"/>
    <w:rsid w:val="6DDD1298"/>
    <w:rsid w:val="6DEE2949"/>
    <w:rsid w:val="6E366014"/>
    <w:rsid w:val="6E3B0BD4"/>
    <w:rsid w:val="6E676912"/>
    <w:rsid w:val="6E695C79"/>
    <w:rsid w:val="6E7F016E"/>
    <w:rsid w:val="6E872312"/>
    <w:rsid w:val="6E8833D3"/>
    <w:rsid w:val="6E944454"/>
    <w:rsid w:val="6EAB7C3D"/>
    <w:rsid w:val="6EB461C1"/>
    <w:rsid w:val="6EDF4188"/>
    <w:rsid w:val="6F024957"/>
    <w:rsid w:val="6F084FA6"/>
    <w:rsid w:val="6F2F465C"/>
    <w:rsid w:val="6F55160F"/>
    <w:rsid w:val="6F9414A3"/>
    <w:rsid w:val="6FB8233D"/>
    <w:rsid w:val="6FD13820"/>
    <w:rsid w:val="701E71BD"/>
    <w:rsid w:val="702B4B79"/>
    <w:rsid w:val="703E04C9"/>
    <w:rsid w:val="707B7BE6"/>
    <w:rsid w:val="707D4C68"/>
    <w:rsid w:val="70FE7D68"/>
    <w:rsid w:val="711B6C0D"/>
    <w:rsid w:val="71305679"/>
    <w:rsid w:val="718D2785"/>
    <w:rsid w:val="720B6657"/>
    <w:rsid w:val="72372AD2"/>
    <w:rsid w:val="72390BA4"/>
    <w:rsid w:val="72561E9B"/>
    <w:rsid w:val="72A826F7"/>
    <w:rsid w:val="72AA1815"/>
    <w:rsid w:val="72B21189"/>
    <w:rsid w:val="72C84E81"/>
    <w:rsid w:val="72D278CD"/>
    <w:rsid w:val="73373C65"/>
    <w:rsid w:val="7357763A"/>
    <w:rsid w:val="7368477B"/>
    <w:rsid w:val="736D4706"/>
    <w:rsid w:val="739F6472"/>
    <w:rsid w:val="73AE4304"/>
    <w:rsid w:val="73C42549"/>
    <w:rsid w:val="73C971C3"/>
    <w:rsid w:val="73E314F9"/>
    <w:rsid w:val="73E77FC7"/>
    <w:rsid w:val="73EA4518"/>
    <w:rsid w:val="74013B11"/>
    <w:rsid w:val="74194D12"/>
    <w:rsid w:val="74200599"/>
    <w:rsid w:val="7447723F"/>
    <w:rsid w:val="74717C0C"/>
    <w:rsid w:val="74AE1B30"/>
    <w:rsid w:val="74B04BD4"/>
    <w:rsid w:val="74BA3438"/>
    <w:rsid w:val="74CA4D6E"/>
    <w:rsid w:val="74E840D0"/>
    <w:rsid w:val="750A006A"/>
    <w:rsid w:val="750E0472"/>
    <w:rsid w:val="7551213F"/>
    <w:rsid w:val="75627FE9"/>
    <w:rsid w:val="757D4FA9"/>
    <w:rsid w:val="75962BBF"/>
    <w:rsid w:val="75B4087C"/>
    <w:rsid w:val="75B95613"/>
    <w:rsid w:val="75E06D74"/>
    <w:rsid w:val="75E23E1E"/>
    <w:rsid w:val="75F52ED2"/>
    <w:rsid w:val="76044558"/>
    <w:rsid w:val="76190696"/>
    <w:rsid w:val="76252842"/>
    <w:rsid w:val="76262435"/>
    <w:rsid w:val="762B6AC6"/>
    <w:rsid w:val="76912C76"/>
    <w:rsid w:val="769E40CD"/>
    <w:rsid w:val="76AE0C8F"/>
    <w:rsid w:val="76C929BD"/>
    <w:rsid w:val="76D37389"/>
    <w:rsid w:val="76E1426C"/>
    <w:rsid w:val="77094A22"/>
    <w:rsid w:val="77243CF3"/>
    <w:rsid w:val="772E0EFE"/>
    <w:rsid w:val="77654915"/>
    <w:rsid w:val="777D122B"/>
    <w:rsid w:val="77A577FC"/>
    <w:rsid w:val="77B31C2C"/>
    <w:rsid w:val="77B7322E"/>
    <w:rsid w:val="77CA642C"/>
    <w:rsid w:val="77FE4933"/>
    <w:rsid w:val="7807444F"/>
    <w:rsid w:val="78074826"/>
    <w:rsid w:val="782A659E"/>
    <w:rsid w:val="783B3A8B"/>
    <w:rsid w:val="78662888"/>
    <w:rsid w:val="78A76457"/>
    <w:rsid w:val="78D3131F"/>
    <w:rsid w:val="78DC1F29"/>
    <w:rsid w:val="78E126B8"/>
    <w:rsid w:val="78F36DAF"/>
    <w:rsid w:val="79111324"/>
    <w:rsid w:val="793B7310"/>
    <w:rsid w:val="794539D2"/>
    <w:rsid w:val="79623D9A"/>
    <w:rsid w:val="797C05F8"/>
    <w:rsid w:val="79900DE0"/>
    <w:rsid w:val="799300D6"/>
    <w:rsid w:val="79AB29FE"/>
    <w:rsid w:val="79B262B0"/>
    <w:rsid w:val="79CF310B"/>
    <w:rsid w:val="79D54E9B"/>
    <w:rsid w:val="79E063D3"/>
    <w:rsid w:val="79E10ED6"/>
    <w:rsid w:val="7A2715C6"/>
    <w:rsid w:val="7A2C4591"/>
    <w:rsid w:val="7A54787E"/>
    <w:rsid w:val="7A97719F"/>
    <w:rsid w:val="7AAB164E"/>
    <w:rsid w:val="7ABB54CD"/>
    <w:rsid w:val="7B513FAC"/>
    <w:rsid w:val="7B572A91"/>
    <w:rsid w:val="7B896448"/>
    <w:rsid w:val="7B8B2564"/>
    <w:rsid w:val="7B901D31"/>
    <w:rsid w:val="7BA74B12"/>
    <w:rsid w:val="7BC1141D"/>
    <w:rsid w:val="7BE36375"/>
    <w:rsid w:val="7BE466C7"/>
    <w:rsid w:val="7BFB4C43"/>
    <w:rsid w:val="7C26159F"/>
    <w:rsid w:val="7C532246"/>
    <w:rsid w:val="7C5549D1"/>
    <w:rsid w:val="7C58178E"/>
    <w:rsid w:val="7C59595B"/>
    <w:rsid w:val="7D1565AE"/>
    <w:rsid w:val="7D3A7C77"/>
    <w:rsid w:val="7D5663B3"/>
    <w:rsid w:val="7D8A3B8A"/>
    <w:rsid w:val="7D922046"/>
    <w:rsid w:val="7DAF27B4"/>
    <w:rsid w:val="7DB564EA"/>
    <w:rsid w:val="7DCD6749"/>
    <w:rsid w:val="7DEE41DF"/>
    <w:rsid w:val="7E11053D"/>
    <w:rsid w:val="7E2403F9"/>
    <w:rsid w:val="7E4C2801"/>
    <w:rsid w:val="7E77451E"/>
    <w:rsid w:val="7E7E3C83"/>
    <w:rsid w:val="7E9E3029"/>
    <w:rsid w:val="7EA0791F"/>
    <w:rsid w:val="7EA21F68"/>
    <w:rsid w:val="7EB167A9"/>
    <w:rsid w:val="7EC93BFD"/>
    <w:rsid w:val="7EE45163"/>
    <w:rsid w:val="7EF14AAA"/>
    <w:rsid w:val="7F234FF3"/>
    <w:rsid w:val="7F5A1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paragraph" w:styleId="5">
    <w:name w:val="footer"/>
    <w:basedOn w:val="1"/>
    <w:qFormat/>
    <w:uiPriority w:val="99"/>
    <w:pPr>
      <w:tabs>
        <w:tab w:val="center" w:pos="4153"/>
        <w:tab w:val="right" w:pos="8306"/>
      </w:tabs>
    </w:pPr>
    <w:rPr>
      <w:sz w:val="20"/>
    </w:rPr>
  </w:style>
  <w:style w:type="paragraph" w:styleId="6">
    <w:name w:val="footnote text"/>
    <w:basedOn w:val="1"/>
    <w:unhideWhenUsed/>
    <w:qFormat/>
    <w:uiPriority w:val="0"/>
    <w:pPr>
      <w:widowControl w:val="0"/>
      <w:overflowPunct/>
      <w:autoSpaceDE/>
      <w:autoSpaceDN/>
      <w:adjustRightInd/>
      <w:snapToGrid w:val="0"/>
      <w:jc w:val="left"/>
      <w:textAlignment w:val="auto"/>
    </w:pPr>
    <w:rPr>
      <w:kern w:val="2"/>
      <w:sz w:val="18"/>
      <w:szCs w:val="18"/>
    </w:rPr>
  </w:style>
  <w:style w:type="paragraph" w:styleId="7">
    <w:name w:val="Normal (Web)"/>
    <w:basedOn w:val="1"/>
    <w:qFormat/>
    <w:uiPriority w:val="0"/>
    <w:pPr>
      <w:spacing w:beforeAutospacing="1" w:afterAutospacing="1"/>
      <w:jc w:val="left"/>
    </w:pPr>
    <w:rPr>
      <w:sz w:val="24"/>
    </w:rPr>
  </w:style>
  <w:style w:type="paragraph" w:styleId="8">
    <w:name w:val="Body Text First Indent"/>
    <w:basedOn w:val="4"/>
    <w:unhideWhenUsed/>
    <w:qFormat/>
    <w:uiPriority w:val="99"/>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0"/>
    <w:rPr>
      <w:i/>
    </w:rPr>
  </w:style>
  <w:style w:type="character" w:styleId="13">
    <w:name w:val="footnote reference"/>
    <w:unhideWhenUsed/>
    <w:qFormat/>
    <w:uiPriority w:val="0"/>
    <w:rPr>
      <w:vertAlign w:val="superscript"/>
    </w:rPr>
  </w:style>
  <w:style w:type="paragraph" w:customStyle="1" w:styleId="14">
    <w:name w:val="表名"/>
    <w:basedOn w:val="1"/>
    <w:qFormat/>
    <w:uiPriority w:val="0"/>
    <w:pPr>
      <w:widowControl w:val="0"/>
      <w:overflowPunct/>
      <w:autoSpaceDE/>
      <w:autoSpaceDN/>
      <w:adjustRightInd/>
      <w:spacing w:before="60" w:after="60"/>
      <w:jc w:val="center"/>
      <w:textAlignment w:val="auto"/>
    </w:pPr>
    <w:rPr>
      <w:rFonts w:eastAsia="仿宋_GB2312"/>
      <w:b/>
      <w:kern w:val="2"/>
      <w:sz w:val="24"/>
      <w:szCs w:val="24"/>
    </w:rPr>
  </w:style>
  <w:style w:type="character" w:customStyle="1" w:styleId="15">
    <w:name w:val="font21"/>
    <w:basedOn w:val="11"/>
    <w:qFormat/>
    <w:uiPriority w:val="0"/>
    <w:rPr>
      <w:rFonts w:hint="default" w:ascii="Times New Roman" w:hAnsi="Times New Roman" w:cs="Times New Roman"/>
      <w:b/>
      <w:color w:val="000000"/>
      <w:sz w:val="21"/>
      <w:szCs w:val="21"/>
      <w:u w:val="none"/>
    </w:rPr>
  </w:style>
  <w:style w:type="character" w:customStyle="1" w:styleId="16">
    <w:name w:val="font01"/>
    <w:basedOn w:val="11"/>
    <w:qFormat/>
    <w:uiPriority w:val="0"/>
    <w:rPr>
      <w:rFonts w:hint="eastAsia" w:ascii="仿宋_GB2312" w:eastAsia="仿宋_GB2312" w:cs="仿宋_GB2312"/>
      <w:b/>
      <w:color w:val="000000"/>
      <w:sz w:val="21"/>
      <w:szCs w:val="21"/>
      <w:u w:val="none"/>
    </w:rPr>
  </w:style>
  <w:style w:type="character" w:customStyle="1" w:styleId="17">
    <w:name w:val="font11"/>
    <w:basedOn w:val="11"/>
    <w:qFormat/>
    <w:uiPriority w:val="0"/>
    <w:rPr>
      <w:rFonts w:hint="default" w:ascii="Times New Roman" w:hAnsi="Times New Roman" w:cs="Times New Roman"/>
      <w:b/>
      <w:color w:val="000000"/>
      <w:sz w:val="21"/>
      <w:szCs w:val="21"/>
      <w:u w:val="none"/>
    </w:rPr>
  </w:style>
  <w:style w:type="character" w:customStyle="1" w:styleId="18">
    <w:name w:val="font41"/>
    <w:basedOn w:val="11"/>
    <w:qFormat/>
    <w:uiPriority w:val="0"/>
    <w:rPr>
      <w:rFonts w:hint="eastAsia" w:ascii="仿宋_GB2312" w:eastAsia="仿宋_GB2312" w:cs="仿宋_GB2312"/>
      <w:b/>
      <w:color w:val="000000"/>
      <w:sz w:val="21"/>
      <w:szCs w:val="21"/>
      <w:u w:val="none"/>
    </w:rPr>
  </w:style>
  <w:style w:type="character" w:customStyle="1" w:styleId="19">
    <w:name w:val="font31"/>
    <w:basedOn w:val="11"/>
    <w:qFormat/>
    <w:uiPriority w:val="0"/>
    <w:rPr>
      <w:rFonts w:hint="eastAsia" w:ascii="仿宋_GB2312" w:eastAsia="仿宋_GB2312" w:cs="仿宋_GB2312"/>
      <w:b/>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Pages>
  <Words>17486</Words>
  <Characters>20155</Characters>
  <Lines>77</Lines>
  <Paragraphs>21</Paragraphs>
  <TotalTime>22</TotalTime>
  <ScaleCrop>false</ScaleCrop>
  <LinksUpToDate>false</LinksUpToDate>
  <CharactersWithSpaces>20193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2020-07-13T01:27:00Z</dcterms:created>
  <dc:creator>霏吡尋常</dc:creator>
  <cp:lastModifiedBy>微微珊</cp:lastModifiedBy>
  <dcterms:modified xsi:type="dcterms:W3CDTF">2024-09-26T04:38:17Z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22B6F389916243DA9784B7E232689435</vt:lpwstr>
  </property>
  <property fmtid="{D5CDD505-2E9C-101B-9397-08002B2CF9AE}" pid="4" name="KSOSaveFontToCloudKey">
    <vt:lpwstr>8269707_cloud</vt:lpwstr>
  </property>
</Properties>
</file>