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BEF708">
      <w:pPr>
        <w:spacing w:line="580" w:lineRule="exact"/>
        <w:jc w:val="center"/>
        <w:rPr>
          <w:rFonts w:asciiTheme="majorEastAsia" w:hAnsiTheme="majorEastAsia" w:eastAsiaTheme="majorEastAsia" w:cstheme="majorEastAsia"/>
          <w:b/>
          <w:bCs/>
          <w:sz w:val="48"/>
          <w:szCs w:val="48"/>
        </w:rPr>
      </w:pPr>
      <w:r>
        <w:rPr>
          <w:rFonts w:hint="eastAsia" w:asciiTheme="majorEastAsia" w:hAnsiTheme="majorEastAsia" w:eastAsiaTheme="majorEastAsia" w:cstheme="majorEastAsia"/>
          <w:b/>
          <w:bCs/>
          <w:sz w:val="48"/>
          <w:szCs w:val="48"/>
        </w:rPr>
        <w:t>2024年度南京市卫生监督所</w:t>
      </w:r>
    </w:p>
    <w:p w14:paraId="750F7D95">
      <w:pPr>
        <w:spacing w:line="580" w:lineRule="exact"/>
        <w:jc w:val="center"/>
        <w:rPr>
          <w:rFonts w:asciiTheme="majorEastAsia" w:hAnsiTheme="majorEastAsia" w:eastAsiaTheme="majorEastAsia" w:cstheme="majorEastAsia"/>
          <w:b/>
          <w:bCs/>
          <w:sz w:val="48"/>
          <w:szCs w:val="48"/>
        </w:rPr>
      </w:pPr>
      <w:r>
        <w:rPr>
          <w:rFonts w:hint="eastAsia" w:asciiTheme="majorEastAsia" w:hAnsiTheme="majorEastAsia" w:eastAsiaTheme="majorEastAsia" w:cstheme="majorEastAsia"/>
          <w:b/>
          <w:bCs/>
          <w:sz w:val="48"/>
          <w:szCs w:val="48"/>
        </w:rPr>
        <w:t>部门整体绩效自评价报告</w:t>
      </w:r>
    </w:p>
    <w:p w14:paraId="262CDF74">
      <w:pPr>
        <w:spacing w:line="580" w:lineRule="exact"/>
        <w:jc w:val="center"/>
        <w:rPr>
          <w:rFonts w:asciiTheme="majorEastAsia" w:hAnsiTheme="majorEastAsia" w:eastAsiaTheme="majorEastAsia" w:cstheme="majorEastAsia"/>
          <w:b/>
          <w:bCs/>
          <w:sz w:val="48"/>
          <w:szCs w:val="48"/>
        </w:rPr>
      </w:pPr>
    </w:p>
    <w:p w14:paraId="74530C75">
      <w:pPr>
        <w:widowControl/>
        <w:spacing w:line="580" w:lineRule="exact"/>
        <w:ind w:firstLine="622" w:firstLineChars="200"/>
        <w:jc w:val="left"/>
      </w:pPr>
      <w:r>
        <w:rPr>
          <w:rFonts w:hint="eastAsia" w:ascii="仿宋" w:hAnsi="仿宋" w:eastAsia="仿宋" w:cs="仿宋"/>
          <w:b/>
          <w:bCs/>
          <w:color w:val="000000"/>
          <w:kern w:val="0"/>
          <w:sz w:val="31"/>
          <w:szCs w:val="31"/>
        </w:rPr>
        <w:t>一、</w:t>
      </w:r>
      <w:r>
        <w:rPr>
          <w:rFonts w:ascii="仿宋" w:hAnsi="仿宋" w:eastAsia="仿宋" w:cs="仿宋"/>
          <w:b/>
          <w:bCs/>
          <w:color w:val="000000"/>
          <w:kern w:val="0"/>
          <w:sz w:val="31"/>
          <w:szCs w:val="31"/>
        </w:rPr>
        <w:t xml:space="preserve">部门基本情况 </w:t>
      </w:r>
    </w:p>
    <w:p w14:paraId="7A1ED05A">
      <w:pPr>
        <w:widowControl/>
        <w:spacing w:line="580" w:lineRule="exact"/>
        <w:ind w:firstLine="602" w:firstLineChars="200"/>
        <w:jc w:val="left"/>
      </w:pPr>
      <w:r>
        <w:rPr>
          <w:rFonts w:hint="eastAsia" w:ascii="仿宋" w:hAnsi="仿宋" w:eastAsia="仿宋" w:cs="仿宋"/>
          <w:b/>
          <w:bCs/>
          <w:color w:val="000000"/>
          <w:kern w:val="0"/>
          <w:sz w:val="30"/>
          <w:szCs w:val="30"/>
        </w:rPr>
        <w:t xml:space="preserve">（一）部门概况 </w:t>
      </w:r>
    </w:p>
    <w:p w14:paraId="34F4C37A">
      <w:pPr>
        <w:widowControl/>
        <w:spacing w:line="580" w:lineRule="exact"/>
        <w:ind w:firstLine="843" w:firstLineChars="300"/>
        <w:jc w:val="left"/>
      </w:pPr>
      <w:r>
        <w:rPr>
          <w:rFonts w:hint="eastAsia" w:ascii="仿宋" w:hAnsi="仿宋" w:eastAsia="仿宋" w:cs="仿宋"/>
          <w:b/>
          <w:bCs/>
          <w:color w:val="000000"/>
          <w:kern w:val="0"/>
          <w:sz w:val="28"/>
          <w:szCs w:val="28"/>
        </w:rPr>
        <w:t>1.</w:t>
      </w:r>
      <w:r>
        <w:rPr>
          <w:rFonts w:hint="eastAsia" w:ascii="仿宋" w:hAnsi="仿宋" w:eastAsia="仿宋" w:cs="仿宋"/>
          <w:b/>
          <w:bCs/>
          <w:color w:val="000000"/>
          <w:kern w:val="0"/>
          <w:sz w:val="30"/>
          <w:szCs w:val="30"/>
        </w:rPr>
        <w:t>部门主要职责</w:t>
      </w:r>
    </w:p>
    <w:p w14:paraId="309F9E0D">
      <w:pPr>
        <w:spacing w:line="580" w:lineRule="exact"/>
        <w:ind w:firstLine="600" w:firstLineChars="200"/>
        <w:rPr>
          <w:rFonts w:ascii="仿宋" w:hAnsi="仿宋" w:eastAsia="仿宋" w:cs="仿宋"/>
          <w:sz w:val="30"/>
          <w:szCs w:val="30"/>
        </w:rPr>
      </w:pPr>
      <w:r>
        <w:rPr>
          <w:rFonts w:hint="eastAsia" w:ascii="仿宋" w:hAnsi="仿宋" w:eastAsia="仿宋" w:cs="仿宋"/>
          <w:sz w:val="30"/>
          <w:szCs w:val="30"/>
        </w:rPr>
        <w:t>南京市卫生监督所成立于2001年，受市卫健委委托行使卫生健康综合监督行政执法职责，负责监督检查南京市辖区内卫生健康相关法律法规执行情况。涉及行政执法检查、行政处罚、行政强制等卫生监督执法权责事项共200余项。内容涵盖传染病防治卫生监督、医疗卫生监督、血液卫生监督、母婴保健卫生监督、放射诊疗卫生监督、职业卫生监督、公共场所卫生监督、生活饮用水卫生监督、学校卫生监督、集中餐饮具集中消毒、爱国卫生监督等11大类卫生监督执法任务。</w:t>
      </w:r>
    </w:p>
    <w:p w14:paraId="3942ACF3">
      <w:pPr>
        <w:widowControl/>
        <w:spacing w:line="580" w:lineRule="exact"/>
        <w:ind w:firstLine="904" w:firstLineChars="300"/>
        <w:jc w:val="left"/>
        <w:rPr>
          <w:rFonts w:ascii="仿宋" w:hAnsi="仿宋" w:eastAsia="仿宋" w:cs="仿宋"/>
          <w:b/>
          <w:bCs/>
          <w:color w:val="000000"/>
          <w:kern w:val="0"/>
          <w:sz w:val="30"/>
          <w:szCs w:val="30"/>
        </w:rPr>
      </w:pPr>
      <w:r>
        <w:rPr>
          <w:rFonts w:hint="eastAsia" w:ascii="仿宋" w:hAnsi="仿宋" w:eastAsia="仿宋" w:cs="仿宋"/>
          <w:b/>
          <w:bCs/>
          <w:color w:val="000000"/>
          <w:kern w:val="0"/>
          <w:sz w:val="30"/>
          <w:szCs w:val="30"/>
        </w:rPr>
        <w:t>2.机构设置及人员情况</w:t>
      </w:r>
    </w:p>
    <w:p w14:paraId="1225D049">
      <w:pPr>
        <w:spacing w:line="580" w:lineRule="exact"/>
        <w:ind w:firstLine="602" w:firstLineChars="200"/>
        <w:rPr>
          <w:rFonts w:ascii="仿宋" w:hAnsi="仿宋" w:eastAsia="仿宋" w:cs="仿宋"/>
          <w:b/>
          <w:bCs/>
          <w:sz w:val="30"/>
          <w:szCs w:val="30"/>
        </w:rPr>
      </w:pPr>
      <w:r>
        <w:rPr>
          <w:rFonts w:hint="eastAsia" w:ascii="仿宋" w:hAnsi="仿宋" w:eastAsia="仿宋" w:cs="仿宋"/>
          <w:b/>
          <w:bCs/>
          <w:sz w:val="30"/>
          <w:szCs w:val="30"/>
        </w:rPr>
        <w:t>（1）机构情况</w:t>
      </w:r>
    </w:p>
    <w:p w14:paraId="049B0542">
      <w:pPr>
        <w:spacing w:line="580" w:lineRule="exact"/>
        <w:ind w:firstLine="600" w:firstLineChars="200"/>
        <w:rPr>
          <w:rFonts w:ascii="仿宋" w:hAnsi="仿宋" w:eastAsia="仿宋" w:cs="仿宋"/>
          <w:sz w:val="30"/>
          <w:szCs w:val="30"/>
        </w:rPr>
      </w:pPr>
      <w:r>
        <w:rPr>
          <w:rFonts w:hint="eastAsia" w:ascii="仿宋" w:hAnsi="仿宋" w:eastAsia="仿宋" w:cs="仿宋"/>
          <w:sz w:val="30"/>
          <w:szCs w:val="30"/>
        </w:rPr>
        <w:t>我所为南京市卫生健康委员会所属全额拨款事业单位，参照公务员法管理,根据我所“三定方案”，设有21个机构，分别为：办公室、党委办公室、总务科、人事科、信息宣传科、纪检监察室、法制稽查科、综合业务科、应急办、食品安全管理科、公共场所卫生监督科、生活饮用水卫生监督科、学校卫生监督科、职业卫生和放射卫生监督科、传染病防治监督科、精神病防治监督科、爱国卫生监督科、消毒产品卫生监督科、医疗卫生监督科、中医服务监督科、计划生育和母婴保健服务监督科。</w:t>
      </w:r>
    </w:p>
    <w:p w14:paraId="10583474">
      <w:pPr>
        <w:spacing w:line="580" w:lineRule="exact"/>
        <w:ind w:firstLine="602" w:firstLineChars="200"/>
        <w:rPr>
          <w:rFonts w:ascii="仿宋" w:hAnsi="仿宋" w:eastAsia="仿宋" w:cs="仿宋"/>
          <w:b/>
          <w:bCs/>
          <w:sz w:val="30"/>
          <w:szCs w:val="30"/>
        </w:rPr>
      </w:pPr>
      <w:r>
        <w:rPr>
          <w:rFonts w:hint="eastAsia" w:ascii="仿宋" w:hAnsi="仿宋" w:eastAsia="仿宋" w:cs="仿宋"/>
          <w:b/>
          <w:bCs/>
          <w:sz w:val="30"/>
          <w:szCs w:val="30"/>
        </w:rPr>
        <w:t>（2）人员情况</w:t>
      </w:r>
    </w:p>
    <w:p w14:paraId="12989225">
      <w:pPr>
        <w:spacing w:line="580" w:lineRule="exact"/>
        <w:ind w:firstLine="600" w:firstLineChars="200"/>
        <w:rPr>
          <w:rFonts w:ascii="仿宋" w:hAnsi="仿宋" w:eastAsia="仿宋" w:cs="仿宋"/>
          <w:sz w:val="30"/>
          <w:szCs w:val="30"/>
        </w:rPr>
      </w:pPr>
      <w:r>
        <w:rPr>
          <w:rFonts w:hint="eastAsia" w:ascii="仿宋" w:hAnsi="仿宋" w:eastAsia="仿宋" w:cs="仿宋"/>
          <w:sz w:val="30"/>
          <w:szCs w:val="30"/>
        </w:rPr>
        <w:t>我所编制数143人，2024年底实有在职人员121人，离休人员1人。</w:t>
      </w:r>
    </w:p>
    <w:p w14:paraId="14D3E826">
      <w:pPr>
        <w:spacing w:line="580" w:lineRule="exact"/>
        <w:ind w:firstLine="602" w:firstLineChars="200"/>
        <w:rPr>
          <w:rFonts w:ascii="仿宋" w:hAnsi="仿宋" w:eastAsia="仿宋" w:cs="仿宋"/>
          <w:b/>
          <w:bCs/>
          <w:color w:val="000000"/>
          <w:kern w:val="0"/>
          <w:sz w:val="30"/>
          <w:szCs w:val="30"/>
        </w:rPr>
      </w:pPr>
      <w:r>
        <w:rPr>
          <w:rFonts w:hint="eastAsia" w:ascii="仿宋" w:hAnsi="仿宋" w:eastAsia="仿宋" w:cs="仿宋"/>
          <w:b/>
          <w:bCs/>
          <w:sz w:val="30"/>
          <w:szCs w:val="30"/>
        </w:rPr>
        <w:t>（3）</w:t>
      </w:r>
      <w:r>
        <w:rPr>
          <w:rFonts w:hint="eastAsia" w:ascii="仿宋" w:hAnsi="仿宋" w:eastAsia="仿宋" w:cs="仿宋"/>
          <w:b/>
          <w:bCs/>
          <w:color w:val="000000"/>
          <w:kern w:val="0"/>
          <w:sz w:val="30"/>
          <w:szCs w:val="30"/>
        </w:rPr>
        <w:t>资产情况</w:t>
      </w:r>
    </w:p>
    <w:p w14:paraId="7B2DA10C">
      <w:pPr>
        <w:spacing w:line="580" w:lineRule="exact"/>
        <w:ind w:firstLine="600" w:firstLineChars="200"/>
        <w:rPr>
          <w:rFonts w:ascii="仿宋" w:hAnsi="仿宋" w:eastAsia="仿宋" w:cs="仿宋"/>
          <w:sz w:val="30"/>
          <w:szCs w:val="30"/>
        </w:rPr>
      </w:pPr>
      <w:r>
        <w:rPr>
          <w:rFonts w:hint="eastAsia" w:ascii="仿宋" w:hAnsi="仿宋" w:eastAsia="仿宋"/>
          <w:sz w:val="30"/>
          <w:szCs w:val="30"/>
        </w:rPr>
        <w:t>2024年末固定资产账面原值768.7万元，其中固定资产净值240.24万元，累计折旧528.46万元。单位目前拥有执法车辆8台。</w:t>
      </w:r>
    </w:p>
    <w:p w14:paraId="7FE45E23">
      <w:pPr>
        <w:spacing w:line="580" w:lineRule="exact"/>
        <w:ind w:firstLine="904" w:firstLineChars="300"/>
        <w:rPr>
          <w:rFonts w:ascii="仿宋" w:hAnsi="仿宋" w:eastAsia="仿宋" w:cs="仿宋"/>
          <w:b/>
          <w:bCs/>
          <w:color w:val="000000"/>
          <w:kern w:val="0"/>
          <w:sz w:val="30"/>
          <w:szCs w:val="30"/>
        </w:rPr>
      </w:pPr>
      <w:r>
        <w:rPr>
          <w:rFonts w:hint="eastAsia" w:ascii="仿宋" w:hAnsi="仿宋" w:eastAsia="仿宋" w:cs="仿宋"/>
          <w:b/>
          <w:bCs/>
          <w:color w:val="000000"/>
          <w:kern w:val="0"/>
          <w:sz w:val="30"/>
          <w:szCs w:val="30"/>
        </w:rPr>
        <w:t>3.2024年度重点工作任务</w:t>
      </w:r>
    </w:p>
    <w:p w14:paraId="6A14928A">
      <w:pPr>
        <w:pStyle w:val="13"/>
        <w:spacing w:line="560" w:lineRule="exact"/>
        <w:ind w:left="640" w:firstLine="0" w:firstLineChars="0"/>
        <w:rPr>
          <w:rFonts w:ascii="仿宋" w:hAnsi="仿宋" w:eastAsia="仿宋" w:cs="Times New Roman"/>
          <w:b/>
          <w:bCs/>
          <w:sz w:val="30"/>
          <w:szCs w:val="30"/>
        </w:rPr>
      </w:pPr>
      <w:r>
        <w:rPr>
          <w:rFonts w:hint="eastAsia" w:ascii="仿宋" w:hAnsi="仿宋" w:eastAsia="仿宋" w:cs="Times New Roman"/>
          <w:b/>
          <w:bCs/>
          <w:sz w:val="30"/>
          <w:szCs w:val="30"/>
        </w:rPr>
        <w:t>（1）坚持党建引领，打开卫监事业发展新格局</w:t>
      </w:r>
    </w:p>
    <w:p w14:paraId="52DF849F">
      <w:pPr>
        <w:spacing w:line="580" w:lineRule="exact"/>
        <w:ind w:firstLine="600" w:firstLineChars="200"/>
        <w:rPr>
          <w:rFonts w:ascii="仿宋" w:hAnsi="仿宋" w:eastAsia="仿宋" w:cs="仿宋"/>
          <w:sz w:val="30"/>
          <w:szCs w:val="30"/>
        </w:rPr>
      </w:pPr>
      <w:r>
        <w:rPr>
          <w:rFonts w:hint="eastAsia" w:ascii="仿宋" w:hAnsi="仿宋" w:eastAsia="仿宋" w:cs="仿宋"/>
          <w:sz w:val="30"/>
          <w:szCs w:val="30"/>
        </w:rPr>
        <w:t>着力抓好政治建设，坚定捍卫“两个确立”、坚决做到“两个维护”；着力抓好思想建设，持续强化党的创新理论武装；着力抓好基层基础，切实增强党组织政治功能和组织功能。</w:t>
      </w:r>
    </w:p>
    <w:p w14:paraId="3F89EC19">
      <w:pPr>
        <w:pStyle w:val="13"/>
        <w:spacing w:line="560" w:lineRule="exact"/>
        <w:ind w:left="640" w:firstLine="0" w:firstLineChars="0"/>
        <w:rPr>
          <w:rFonts w:ascii="仿宋" w:hAnsi="仿宋" w:eastAsia="仿宋" w:cs="Times New Roman"/>
          <w:b/>
          <w:bCs/>
          <w:sz w:val="30"/>
          <w:szCs w:val="30"/>
        </w:rPr>
      </w:pPr>
      <w:r>
        <w:rPr>
          <w:rFonts w:hint="eastAsia" w:ascii="仿宋" w:hAnsi="仿宋" w:eastAsia="仿宋" w:cs="Times New Roman"/>
          <w:b/>
          <w:bCs/>
          <w:sz w:val="30"/>
          <w:szCs w:val="30"/>
        </w:rPr>
        <w:t>（2）坚持守正创新，探索卫生综合监管新模式</w:t>
      </w:r>
    </w:p>
    <w:p w14:paraId="631D7DE8">
      <w:pPr>
        <w:spacing w:line="580" w:lineRule="exact"/>
        <w:ind w:firstLine="600" w:firstLineChars="200"/>
        <w:rPr>
          <w:rFonts w:ascii="仿宋" w:hAnsi="仿宋" w:eastAsia="仿宋" w:cs="仿宋"/>
          <w:sz w:val="30"/>
          <w:szCs w:val="30"/>
        </w:rPr>
      </w:pPr>
      <w:r>
        <w:rPr>
          <w:rFonts w:hint="eastAsia" w:ascii="仿宋" w:hAnsi="仿宋" w:eastAsia="仿宋" w:cs="仿宋"/>
          <w:sz w:val="30"/>
          <w:szCs w:val="30"/>
        </w:rPr>
        <w:t>深入推进信用分类监管；大力推广非现场执法技术应用；着力优化卫生监督信息系统升级改造；持续落实医疗卫生行业综合监管制度；强化爱国卫生运动组织管理。</w:t>
      </w:r>
    </w:p>
    <w:p w14:paraId="3AF555AB">
      <w:pPr>
        <w:spacing w:line="580" w:lineRule="exact"/>
        <w:ind w:firstLine="602" w:firstLineChars="200"/>
        <w:rPr>
          <w:rFonts w:ascii="仿宋" w:hAnsi="仿宋" w:eastAsia="仿宋"/>
          <w:b/>
          <w:bCs/>
          <w:sz w:val="30"/>
          <w:szCs w:val="30"/>
        </w:rPr>
      </w:pPr>
      <w:r>
        <w:rPr>
          <w:rFonts w:hint="eastAsia" w:ascii="仿宋" w:hAnsi="仿宋" w:eastAsia="仿宋"/>
          <w:b/>
          <w:bCs/>
          <w:sz w:val="30"/>
          <w:szCs w:val="30"/>
        </w:rPr>
        <w:t>（3）坚持聚焦主业，开启卫生监督执法新征程</w:t>
      </w:r>
    </w:p>
    <w:p w14:paraId="3F890CEF">
      <w:pPr>
        <w:spacing w:line="580" w:lineRule="exact"/>
        <w:ind w:firstLine="600" w:firstLineChars="200"/>
        <w:rPr>
          <w:rFonts w:ascii="仿宋" w:hAnsi="仿宋" w:eastAsia="仿宋" w:cs="仿宋"/>
          <w:sz w:val="30"/>
          <w:szCs w:val="30"/>
        </w:rPr>
      </w:pPr>
      <w:r>
        <w:rPr>
          <w:rFonts w:hint="eastAsia" w:ascii="仿宋" w:hAnsi="仿宋" w:eastAsia="仿宋" w:cs="仿宋"/>
          <w:sz w:val="30"/>
          <w:szCs w:val="30"/>
        </w:rPr>
        <w:t>加强食品安全标准管理；推进卫生健康“双随机”工作；狠抓案件质量，推进精品铁案工程；开展卫生监督执法专项整治；</w:t>
      </w:r>
    </w:p>
    <w:p w14:paraId="0E061EE6">
      <w:pPr>
        <w:spacing w:line="580" w:lineRule="exact"/>
        <w:rPr>
          <w:rFonts w:ascii="仿宋" w:hAnsi="仿宋" w:eastAsia="仿宋" w:cs="仿宋"/>
          <w:sz w:val="30"/>
          <w:szCs w:val="30"/>
        </w:rPr>
      </w:pPr>
      <w:r>
        <w:rPr>
          <w:rFonts w:hint="eastAsia" w:ascii="仿宋" w:hAnsi="仿宋" w:eastAsia="仿宋" w:cs="仿宋"/>
          <w:sz w:val="30"/>
          <w:szCs w:val="30"/>
        </w:rPr>
        <w:t>统筹做好公共卫生监督工作；开展卫生监督法制稽查工作；提升卫生监督协管服务能力。</w:t>
      </w:r>
    </w:p>
    <w:p w14:paraId="0DD7B612">
      <w:pPr>
        <w:spacing w:line="580" w:lineRule="exact"/>
        <w:ind w:firstLine="602" w:firstLineChars="200"/>
        <w:rPr>
          <w:rFonts w:ascii="仿宋" w:hAnsi="仿宋" w:eastAsia="仿宋"/>
          <w:b/>
          <w:bCs/>
          <w:sz w:val="30"/>
          <w:szCs w:val="30"/>
        </w:rPr>
      </w:pPr>
      <w:r>
        <w:rPr>
          <w:rFonts w:hint="eastAsia" w:ascii="仿宋" w:hAnsi="仿宋" w:eastAsia="仿宋"/>
          <w:b/>
          <w:bCs/>
          <w:sz w:val="30"/>
          <w:szCs w:val="30"/>
        </w:rPr>
        <w:t>（4）坚持多措并举，展现卫生监督队伍新气象</w:t>
      </w:r>
    </w:p>
    <w:p w14:paraId="1E17EA00">
      <w:pPr>
        <w:spacing w:line="580" w:lineRule="exact"/>
        <w:ind w:firstLine="600" w:firstLineChars="200"/>
        <w:rPr>
          <w:rFonts w:ascii="仿宋" w:hAnsi="仿宋" w:eastAsia="仿宋" w:cs="仿宋"/>
          <w:sz w:val="30"/>
          <w:szCs w:val="30"/>
        </w:rPr>
      </w:pPr>
      <w:r>
        <w:rPr>
          <w:rFonts w:hint="eastAsia" w:ascii="仿宋" w:hAnsi="仿宋" w:eastAsia="仿宋" w:cs="仿宋"/>
          <w:sz w:val="30"/>
          <w:szCs w:val="30"/>
        </w:rPr>
        <w:t>加强人才队伍建设；强化卫生监督应急工作；推进“南京卫监”品牌建设。</w:t>
      </w:r>
    </w:p>
    <w:p w14:paraId="79210ABF">
      <w:pPr>
        <w:spacing w:line="580" w:lineRule="exact"/>
        <w:ind w:firstLine="600" w:firstLineChars="200"/>
        <w:rPr>
          <w:rFonts w:ascii="仿宋" w:hAnsi="仿宋" w:eastAsia="仿宋" w:cs="仿宋"/>
          <w:sz w:val="30"/>
          <w:szCs w:val="30"/>
        </w:rPr>
      </w:pPr>
    </w:p>
    <w:p w14:paraId="003836F9">
      <w:pPr>
        <w:numPr>
          <w:ilvl w:val="0"/>
          <w:numId w:val="1"/>
        </w:numPr>
        <w:spacing w:line="580" w:lineRule="exact"/>
        <w:ind w:firstLine="602" w:firstLineChars="200"/>
        <w:rPr>
          <w:rFonts w:ascii="仿宋" w:hAnsi="仿宋" w:eastAsia="仿宋" w:cs="仿宋"/>
          <w:b/>
          <w:bCs/>
          <w:sz w:val="30"/>
          <w:szCs w:val="30"/>
        </w:rPr>
      </w:pPr>
      <w:r>
        <w:rPr>
          <w:rFonts w:hint="eastAsia" w:ascii="仿宋" w:hAnsi="仿宋" w:eastAsia="仿宋" w:cs="仿宋"/>
          <w:b/>
          <w:bCs/>
          <w:sz w:val="30"/>
          <w:szCs w:val="30"/>
        </w:rPr>
        <w:t>单位收支情况</w:t>
      </w:r>
    </w:p>
    <w:p w14:paraId="2993EC4B">
      <w:pPr>
        <w:spacing w:line="580" w:lineRule="exact"/>
        <w:ind w:firstLine="602" w:firstLineChars="200"/>
        <w:rPr>
          <w:rFonts w:ascii="仿宋" w:hAnsi="仿宋" w:eastAsia="仿宋" w:cs="仿宋"/>
          <w:b/>
          <w:bCs/>
          <w:sz w:val="30"/>
          <w:szCs w:val="30"/>
        </w:rPr>
      </w:pPr>
      <w:r>
        <w:rPr>
          <w:rFonts w:hint="eastAsia" w:ascii="仿宋" w:hAnsi="仿宋" w:eastAsia="仿宋"/>
          <w:b/>
          <w:bCs/>
          <w:sz w:val="30"/>
          <w:szCs w:val="30"/>
        </w:rPr>
        <w:t>1.部门整体收支情况</w:t>
      </w:r>
    </w:p>
    <w:p w14:paraId="3E739EAA">
      <w:pPr>
        <w:spacing w:line="580" w:lineRule="exact"/>
        <w:ind w:firstLine="600" w:firstLineChars="200"/>
        <w:rPr>
          <w:rFonts w:ascii="仿宋" w:hAnsi="仿宋" w:eastAsia="仿宋" w:cs="仿宋"/>
          <w:sz w:val="30"/>
          <w:szCs w:val="30"/>
        </w:rPr>
      </w:pPr>
      <w:r>
        <w:rPr>
          <w:rFonts w:hint="eastAsia" w:ascii="仿宋" w:hAnsi="仿宋" w:eastAsia="仿宋" w:cs="仿宋"/>
          <w:sz w:val="30"/>
          <w:szCs w:val="30"/>
        </w:rPr>
        <w:t>（1）2024年，南京市卫生监督所年初预算数为5214.51万元，其中基本支出5075.01万元、项目支出139.5万元。调整预算数为5051.24万元，较年初调减163.27万元，调增的主要原因按照过紧日子的要求削减支出。决算支出数为5098.55万元，其中，基本支出4946.78万元，项目支出151.77万元。</w:t>
      </w:r>
    </w:p>
    <w:p w14:paraId="316B8B5B">
      <w:pPr>
        <w:autoSpaceDE w:val="0"/>
        <w:autoSpaceDN w:val="0"/>
        <w:spacing w:line="560" w:lineRule="exact"/>
        <w:ind w:firstLine="600" w:firstLineChars="200"/>
        <w:rPr>
          <w:rFonts w:ascii="仿宋" w:hAnsi="仿宋" w:eastAsia="仿宋" w:cs="仿宋"/>
          <w:sz w:val="30"/>
          <w:szCs w:val="30"/>
        </w:rPr>
      </w:pPr>
      <w:r>
        <w:rPr>
          <w:rFonts w:hint="eastAsia" w:ascii="仿宋" w:hAnsi="仿宋" w:eastAsia="仿宋" w:cs="仿宋"/>
          <w:sz w:val="30"/>
          <w:szCs w:val="30"/>
        </w:rPr>
        <w:t>（2）</w:t>
      </w:r>
      <w:r>
        <w:rPr>
          <w:rFonts w:ascii="仿宋" w:hAnsi="仿宋" w:eastAsia="仿宋" w:cs="仿宋"/>
          <w:sz w:val="30"/>
          <w:szCs w:val="30"/>
        </w:rPr>
        <w:t>202</w:t>
      </w:r>
      <w:r>
        <w:rPr>
          <w:rFonts w:hint="eastAsia" w:ascii="仿宋" w:hAnsi="仿宋" w:eastAsia="仿宋" w:cs="仿宋"/>
          <w:sz w:val="30"/>
          <w:szCs w:val="30"/>
        </w:rPr>
        <w:t>4</w:t>
      </w:r>
      <w:r>
        <w:rPr>
          <w:rFonts w:ascii="仿宋" w:hAnsi="仿宋" w:eastAsia="仿宋" w:cs="仿宋"/>
          <w:sz w:val="30"/>
          <w:szCs w:val="30"/>
        </w:rPr>
        <w:t>年度，</w:t>
      </w:r>
      <w:r>
        <w:rPr>
          <w:rFonts w:hint="eastAsia" w:ascii="仿宋" w:hAnsi="仿宋" w:eastAsia="仿宋" w:cs="仿宋"/>
          <w:sz w:val="30"/>
          <w:szCs w:val="30"/>
        </w:rPr>
        <w:t>“三公”经费预算</w:t>
      </w:r>
      <w:r>
        <w:rPr>
          <w:rFonts w:ascii="仿宋" w:hAnsi="仿宋" w:eastAsia="仿宋" w:cs="仿宋"/>
          <w:sz w:val="30"/>
          <w:szCs w:val="30"/>
        </w:rPr>
        <w:t>数为</w:t>
      </w:r>
      <w:r>
        <w:rPr>
          <w:rFonts w:hint="eastAsia" w:ascii="仿宋" w:hAnsi="仿宋" w:eastAsia="仿宋" w:cs="仿宋"/>
          <w:sz w:val="30"/>
          <w:szCs w:val="30"/>
        </w:rPr>
        <w:t>27.06</w:t>
      </w:r>
      <w:r>
        <w:rPr>
          <w:rFonts w:ascii="仿宋" w:hAnsi="仿宋" w:eastAsia="仿宋" w:cs="仿宋"/>
          <w:sz w:val="30"/>
          <w:szCs w:val="30"/>
        </w:rPr>
        <w:t>万元，决算支出数为</w:t>
      </w:r>
      <w:r>
        <w:rPr>
          <w:rFonts w:hint="eastAsia" w:ascii="仿宋" w:hAnsi="仿宋" w:eastAsia="仿宋" w:cs="仿宋"/>
          <w:sz w:val="30"/>
          <w:szCs w:val="30"/>
        </w:rPr>
        <w:t>7.21</w:t>
      </w:r>
      <w:r>
        <w:rPr>
          <w:rFonts w:ascii="仿宋" w:hAnsi="仿宋" w:eastAsia="仿宋" w:cs="仿宋"/>
          <w:sz w:val="30"/>
          <w:szCs w:val="30"/>
        </w:rPr>
        <w:t>万元，</w:t>
      </w:r>
      <w:r>
        <w:rPr>
          <w:rFonts w:hint="eastAsia" w:ascii="仿宋" w:hAnsi="仿宋" w:eastAsia="仿宋" w:cs="仿宋"/>
          <w:sz w:val="30"/>
          <w:szCs w:val="30"/>
        </w:rPr>
        <w:t>实际</w:t>
      </w:r>
      <w:r>
        <w:rPr>
          <w:rFonts w:ascii="仿宋" w:hAnsi="仿宋" w:eastAsia="仿宋" w:cs="仿宋"/>
          <w:sz w:val="30"/>
          <w:szCs w:val="30"/>
        </w:rPr>
        <w:t>执行占</w:t>
      </w:r>
      <w:r>
        <w:rPr>
          <w:rFonts w:hint="eastAsia" w:ascii="仿宋" w:hAnsi="仿宋" w:eastAsia="仿宋" w:cs="仿宋"/>
          <w:sz w:val="30"/>
          <w:szCs w:val="30"/>
        </w:rPr>
        <w:t>年初</w:t>
      </w:r>
      <w:r>
        <w:rPr>
          <w:rFonts w:ascii="仿宋" w:hAnsi="仿宋" w:eastAsia="仿宋" w:cs="仿宋"/>
          <w:sz w:val="30"/>
          <w:szCs w:val="30"/>
        </w:rPr>
        <w:t>预算</w:t>
      </w:r>
      <w:r>
        <w:rPr>
          <w:rFonts w:hint="eastAsia" w:ascii="仿宋" w:hAnsi="仿宋" w:eastAsia="仿宋" w:cs="仿宋"/>
          <w:sz w:val="30"/>
          <w:szCs w:val="30"/>
        </w:rPr>
        <w:t>26.64%</w:t>
      </w:r>
      <w:r>
        <w:rPr>
          <w:rFonts w:ascii="仿宋" w:hAnsi="仿宋" w:eastAsia="仿宋" w:cs="仿宋"/>
          <w:sz w:val="30"/>
          <w:szCs w:val="30"/>
        </w:rPr>
        <w:t>。</w:t>
      </w:r>
      <w:r>
        <w:rPr>
          <w:rFonts w:hint="eastAsia" w:ascii="仿宋" w:hAnsi="仿宋" w:eastAsia="仿宋" w:cs="仿宋"/>
          <w:sz w:val="30"/>
          <w:szCs w:val="30"/>
        </w:rPr>
        <w:t>“三公”经费预算</w:t>
      </w:r>
      <w:r>
        <w:rPr>
          <w:rFonts w:ascii="仿宋" w:hAnsi="仿宋" w:eastAsia="仿宋" w:cs="仿宋"/>
          <w:sz w:val="30"/>
          <w:szCs w:val="30"/>
        </w:rPr>
        <w:t>与执行情况如表</w:t>
      </w:r>
      <w:r>
        <w:rPr>
          <w:rFonts w:hint="eastAsia" w:ascii="仿宋" w:hAnsi="仿宋" w:eastAsia="仿宋" w:cs="仿宋"/>
          <w:sz w:val="30"/>
          <w:szCs w:val="30"/>
        </w:rPr>
        <w:t>1</w:t>
      </w:r>
      <w:r>
        <w:rPr>
          <w:rFonts w:ascii="仿宋" w:hAnsi="仿宋" w:eastAsia="仿宋" w:cs="仿宋"/>
          <w:sz w:val="30"/>
          <w:szCs w:val="30"/>
        </w:rPr>
        <w:t>：</w:t>
      </w:r>
    </w:p>
    <w:p w14:paraId="0B5F2E5C">
      <w:pPr>
        <w:autoSpaceDE w:val="0"/>
        <w:autoSpaceDN w:val="0"/>
        <w:spacing w:line="560" w:lineRule="exact"/>
        <w:jc w:val="center"/>
        <w:rPr>
          <w:rFonts w:ascii="仿宋" w:hAnsi="仿宋" w:eastAsia="仿宋" w:cs="宋体"/>
          <w:b/>
          <w:kern w:val="0"/>
          <w:sz w:val="28"/>
          <w:szCs w:val="28"/>
        </w:rPr>
      </w:pPr>
      <w:r>
        <w:rPr>
          <w:rFonts w:hint="eastAsia" w:ascii="仿宋" w:hAnsi="仿宋" w:eastAsia="仿宋" w:cs="宋体"/>
          <w:b/>
          <w:kern w:val="0"/>
          <w:sz w:val="28"/>
          <w:szCs w:val="28"/>
        </w:rPr>
        <w:t>表1：2024年南京市卫生监督所“三公”经费预算与执行情况表</w:t>
      </w:r>
    </w:p>
    <w:p w14:paraId="5DBE1A4E">
      <w:pPr>
        <w:autoSpaceDE w:val="0"/>
        <w:autoSpaceDN w:val="0"/>
        <w:spacing w:line="560" w:lineRule="exact"/>
        <w:ind w:firstLine="480" w:firstLineChars="200"/>
        <w:jc w:val="right"/>
        <w:rPr>
          <w:rFonts w:ascii="仿宋" w:hAnsi="仿宋" w:eastAsia="仿宋" w:cs="Times New Roman"/>
          <w:sz w:val="30"/>
          <w:szCs w:val="30"/>
          <w:lang w:val="zh-CN" w:bidi="zh-CN"/>
        </w:rPr>
      </w:pPr>
      <w:r>
        <w:rPr>
          <w:rFonts w:hint="eastAsia" w:ascii="仿宋" w:hAnsi="仿宋" w:eastAsia="仿宋" w:cs="宋体"/>
          <w:kern w:val="0"/>
          <w:sz w:val="24"/>
        </w:rPr>
        <w:t>金额：万元</w:t>
      </w:r>
    </w:p>
    <w:tbl>
      <w:tblPr>
        <w:tblStyle w:val="6"/>
        <w:tblW w:w="4971" w:type="pct"/>
        <w:tblInd w:w="0" w:type="dxa"/>
        <w:tblLayout w:type="autofit"/>
        <w:tblCellMar>
          <w:top w:w="0" w:type="dxa"/>
          <w:left w:w="108" w:type="dxa"/>
          <w:bottom w:w="0" w:type="dxa"/>
          <w:right w:w="108" w:type="dxa"/>
        </w:tblCellMar>
      </w:tblPr>
      <w:tblGrid>
        <w:gridCol w:w="4785"/>
        <w:gridCol w:w="1844"/>
        <w:gridCol w:w="1844"/>
      </w:tblGrid>
      <w:tr w14:paraId="5044D8BB">
        <w:tblPrEx>
          <w:tblCellMar>
            <w:top w:w="0" w:type="dxa"/>
            <w:left w:w="108" w:type="dxa"/>
            <w:bottom w:w="0" w:type="dxa"/>
            <w:right w:w="108" w:type="dxa"/>
          </w:tblCellMar>
        </w:tblPrEx>
        <w:trPr>
          <w:trHeight w:val="270" w:hRule="atLeast"/>
        </w:trPr>
        <w:tc>
          <w:tcPr>
            <w:tcW w:w="2824" w:type="pct"/>
            <w:tcBorders>
              <w:top w:val="single" w:color="auto" w:sz="4" w:space="0"/>
              <w:left w:val="single" w:color="auto" w:sz="4" w:space="0"/>
              <w:bottom w:val="single" w:color="auto" w:sz="4" w:space="0"/>
              <w:right w:val="single" w:color="auto" w:sz="4" w:space="0"/>
            </w:tcBorders>
            <w:shd w:val="clear" w:color="000000" w:fill="FFFFFF"/>
            <w:noWrap/>
          </w:tcPr>
          <w:p w14:paraId="5B04BF2C">
            <w:pPr>
              <w:jc w:val="center"/>
              <w:rPr>
                <w:rFonts w:ascii="宋体" w:hAnsi="宋体" w:cs="宋体"/>
                <w:b/>
                <w:kern w:val="0"/>
                <w:sz w:val="24"/>
              </w:rPr>
            </w:pPr>
            <w:r>
              <w:rPr>
                <w:rFonts w:hint="eastAsia" w:ascii="宋体" w:hAnsi="宋体" w:cs="宋体"/>
                <w:b/>
                <w:kern w:val="0"/>
                <w:sz w:val="24"/>
              </w:rPr>
              <w:t>项</w:t>
            </w:r>
            <w:r>
              <w:rPr>
                <w:rFonts w:ascii="宋体" w:hAnsi="宋体" w:cs="宋体"/>
                <w:b/>
                <w:kern w:val="0"/>
                <w:sz w:val="24"/>
              </w:rPr>
              <w:t>目</w:t>
            </w:r>
          </w:p>
        </w:tc>
        <w:tc>
          <w:tcPr>
            <w:tcW w:w="1088" w:type="pct"/>
            <w:tcBorders>
              <w:top w:val="single" w:color="auto" w:sz="4" w:space="0"/>
              <w:left w:val="nil"/>
              <w:bottom w:val="single" w:color="auto" w:sz="4" w:space="0"/>
              <w:right w:val="single" w:color="auto" w:sz="4" w:space="0"/>
            </w:tcBorders>
            <w:shd w:val="clear" w:color="000000" w:fill="FFFFFF"/>
            <w:noWrap/>
            <w:vAlign w:val="center"/>
          </w:tcPr>
          <w:p w14:paraId="43D2544B">
            <w:pPr>
              <w:widowControl/>
              <w:jc w:val="center"/>
              <w:rPr>
                <w:rFonts w:ascii="宋体" w:hAnsi="宋体" w:cs="宋体"/>
                <w:b/>
                <w:kern w:val="0"/>
                <w:sz w:val="24"/>
              </w:rPr>
            </w:pPr>
            <w:r>
              <w:rPr>
                <w:rFonts w:hint="eastAsia" w:ascii="宋体" w:hAnsi="宋体" w:cs="宋体"/>
                <w:b/>
                <w:kern w:val="0"/>
                <w:sz w:val="24"/>
              </w:rPr>
              <w:t>预算数</w:t>
            </w:r>
          </w:p>
        </w:tc>
        <w:tc>
          <w:tcPr>
            <w:tcW w:w="1088" w:type="pct"/>
            <w:tcBorders>
              <w:top w:val="single" w:color="auto" w:sz="4" w:space="0"/>
              <w:left w:val="nil"/>
              <w:bottom w:val="single" w:color="auto" w:sz="4" w:space="0"/>
              <w:right w:val="single" w:color="auto" w:sz="4" w:space="0"/>
            </w:tcBorders>
            <w:shd w:val="clear" w:color="000000" w:fill="FFFFFF"/>
            <w:noWrap/>
            <w:vAlign w:val="center"/>
          </w:tcPr>
          <w:p w14:paraId="1D83DB1B">
            <w:pPr>
              <w:widowControl/>
              <w:jc w:val="center"/>
              <w:rPr>
                <w:rFonts w:ascii="宋体" w:hAnsi="宋体" w:cs="宋体"/>
                <w:b/>
                <w:kern w:val="0"/>
                <w:sz w:val="24"/>
              </w:rPr>
            </w:pPr>
            <w:r>
              <w:rPr>
                <w:rFonts w:hint="eastAsia" w:ascii="宋体" w:hAnsi="宋体" w:cs="宋体"/>
                <w:b/>
                <w:kern w:val="0"/>
                <w:sz w:val="24"/>
              </w:rPr>
              <w:t>决算数</w:t>
            </w:r>
          </w:p>
        </w:tc>
      </w:tr>
      <w:tr w14:paraId="7605AD02">
        <w:tblPrEx>
          <w:tblCellMar>
            <w:top w:w="0" w:type="dxa"/>
            <w:left w:w="108" w:type="dxa"/>
            <w:bottom w:w="0" w:type="dxa"/>
            <w:right w:w="108" w:type="dxa"/>
          </w:tblCellMar>
        </w:tblPrEx>
        <w:trPr>
          <w:trHeight w:val="413" w:hRule="exact"/>
        </w:trPr>
        <w:tc>
          <w:tcPr>
            <w:tcW w:w="2824" w:type="pct"/>
            <w:tcBorders>
              <w:top w:val="nil"/>
              <w:left w:val="single" w:color="auto" w:sz="4" w:space="0"/>
              <w:bottom w:val="single" w:color="auto" w:sz="4" w:space="0"/>
              <w:right w:val="single" w:color="auto" w:sz="4" w:space="0"/>
            </w:tcBorders>
            <w:shd w:val="clear" w:color="000000" w:fill="FFFFFF"/>
            <w:noWrap/>
            <w:vAlign w:val="center"/>
          </w:tcPr>
          <w:p w14:paraId="07A48273">
            <w:pPr>
              <w:widowControl/>
              <w:autoSpaceDE w:val="0"/>
              <w:autoSpaceDN w:val="0"/>
              <w:jc w:val="left"/>
              <w:rPr>
                <w:rFonts w:ascii="仿宋" w:hAnsi="仿宋" w:eastAsia="仿宋" w:cs="仿宋"/>
                <w:kern w:val="0"/>
                <w:sz w:val="22"/>
                <w:lang w:val="zh-CN" w:bidi="zh-CN"/>
              </w:rPr>
            </w:pPr>
            <w:r>
              <w:rPr>
                <w:rFonts w:hint="eastAsia" w:ascii="仿宋" w:hAnsi="仿宋" w:eastAsia="仿宋" w:cs="仿宋"/>
                <w:kern w:val="0"/>
                <w:sz w:val="22"/>
                <w:lang w:val="zh-CN" w:bidi="zh-CN"/>
              </w:rPr>
              <w:t>1.因公出国（境）费</w:t>
            </w:r>
          </w:p>
        </w:tc>
        <w:tc>
          <w:tcPr>
            <w:tcW w:w="1088" w:type="pct"/>
            <w:tcBorders>
              <w:top w:val="nil"/>
              <w:left w:val="nil"/>
              <w:bottom w:val="single" w:color="auto" w:sz="4" w:space="0"/>
              <w:right w:val="single" w:color="auto" w:sz="4" w:space="0"/>
            </w:tcBorders>
            <w:shd w:val="clear" w:color="000000" w:fill="FFFFFF"/>
            <w:noWrap/>
            <w:vAlign w:val="center"/>
          </w:tcPr>
          <w:p w14:paraId="492EA9F8">
            <w:pPr>
              <w:jc w:val="center"/>
              <w:rPr>
                <w:rFonts w:ascii="仿宋" w:hAnsi="仿宋" w:eastAsia="仿宋" w:cs="宋体"/>
                <w:sz w:val="22"/>
              </w:rPr>
            </w:pPr>
            <w:r>
              <w:rPr>
                <w:rFonts w:hint="eastAsia" w:ascii="仿宋" w:hAnsi="仿宋" w:eastAsia="仿宋" w:cs="宋体"/>
                <w:sz w:val="22"/>
              </w:rPr>
              <w:t>0</w:t>
            </w:r>
          </w:p>
        </w:tc>
        <w:tc>
          <w:tcPr>
            <w:tcW w:w="1088" w:type="pct"/>
            <w:tcBorders>
              <w:top w:val="nil"/>
              <w:left w:val="nil"/>
              <w:bottom w:val="single" w:color="auto" w:sz="4" w:space="0"/>
              <w:right w:val="single" w:color="auto" w:sz="4" w:space="0"/>
            </w:tcBorders>
            <w:shd w:val="clear" w:color="000000" w:fill="FFFFFF"/>
            <w:noWrap/>
            <w:vAlign w:val="center"/>
          </w:tcPr>
          <w:p w14:paraId="7CC35960">
            <w:pPr>
              <w:jc w:val="center"/>
              <w:rPr>
                <w:rFonts w:ascii="仿宋" w:hAnsi="仿宋" w:eastAsia="仿宋" w:cs="宋体"/>
                <w:sz w:val="22"/>
              </w:rPr>
            </w:pPr>
            <w:r>
              <w:rPr>
                <w:rFonts w:hint="eastAsia" w:ascii="仿宋" w:hAnsi="仿宋" w:eastAsia="仿宋"/>
                <w:sz w:val="22"/>
              </w:rPr>
              <w:t>0</w:t>
            </w:r>
          </w:p>
        </w:tc>
      </w:tr>
      <w:tr w14:paraId="0CA1A78C">
        <w:tblPrEx>
          <w:tblCellMar>
            <w:top w:w="0" w:type="dxa"/>
            <w:left w:w="108" w:type="dxa"/>
            <w:bottom w:w="0" w:type="dxa"/>
            <w:right w:w="108" w:type="dxa"/>
          </w:tblCellMar>
        </w:tblPrEx>
        <w:trPr>
          <w:trHeight w:val="340" w:hRule="exact"/>
        </w:trPr>
        <w:tc>
          <w:tcPr>
            <w:tcW w:w="2824" w:type="pct"/>
            <w:tcBorders>
              <w:top w:val="nil"/>
              <w:left w:val="single" w:color="auto" w:sz="4" w:space="0"/>
              <w:bottom w:val="single" w:color="auto" w:sz="4" w:space="0"/>
              <w:right w:val="single" w:color="auto" w:sz="4" w:space="0"/>
            </w:tcBorders>
            <w:shd w:val="clear" w:color="000000" w:fill="FFFFFF"/>
            <w:noWrap/>
            <w:vAlign w:val="center"/>
          </w:tcPr>
          <w:p w14:paraId="28F597F6">
            <w:pPr>
              <w:widowControl/>
              <w:autoSpaceDE w:val="0"/>
              <w:autoSpaceDN w:val="0"/>
              <w:jc w:val="left"/>
              <w:rPr>
                <w:rFonts w:ascii="仿宋" w:hAnsi="仿宋" w:eastAsia="仿宋" w:cs="仿宋"/>
                <w:kern w:val="0"/>
                <w:sz w:val="24"/>
                <w:lang w:val="zh-CN" w:bidi="zh-CN"/>
              </w:rPr>
            </w:pPr>
            <w:r>
              <w:rPr>
                <w:rFonts w:hint="eastAsia" w:ascii="仿宋" w:hAnsi="仿宋" w:eastAsia="仿宋" w:cs="仿宋"/>
                <w:kern w:val="0"/>
                <w:sz w:val="24"/>
                <w:lang w:val="zh-CN" w:bidi="zh-CN"/>
              </w:rPr>
              <w:t>2.公务接待费</w:t>
            </w:r>
          </w:p>
        </w:tc>
        <w:tc>
          <w:tcPr>
            <w:tcW w:w="1088" w:type="pct"/>
            <w:tcBorders>
              <w:top w:val="nil"/>
              <w:left w:val="nil"/>
              <w:bottom w:val="single" w:color="auto" w:sz="4" w:space="0"/>
              <w:right w:val="single" w:color="auto" w:sz="4" w:space="0"/>
            </w:tcBorders>
            <w:shd w:val="clear" w:color="000000" w:fill="FFFFFF"/>
            <w:noWrap/>
            <w:vAlign w:val="center"/>
          </w:tcPr>
          <w:p w14:paraId="5957BAC9">
            <w:pPr>
              <w:jc w:val="center"/>
              <w:rPr>
                <w:rFonts w:ascii="仿宋" w:hAnsi="仿宋" w:eastAsia="仿宋" w:cs="宋体"/>
                <w:sz w:val="22"/>
              </w:rPr>
            </w:pPr>
            <w:r>
              <w:rPr>
                <w:rFonts w:hint="eastAsia" w:ascii="仿宋" w:hAnsi="仿宋" w:eastAsia="仿宋"/>
                <w:sz w:val="22"/>
              </w:rPr>
              <w:t>2</w:t>
            </w:r>
          </w:p>
        </w:tc>
        <w:tc>
          <w:tcPr>
            <w:tcW w:w="1088" w:type="pct"/>
            <w:tcBorders>
              <w:top w:val="nil"/>
              <w:left w:val="nil"/>
              <w:bottom w:val="single" w:color="auto" w:sz="4" w:space="0"/>
              <w:right w:val="single" w:color="auto" w:sz="4" w:space="0"/>
            </w:tcBorders>
            <w:shd w:val="clear" w:color="000000" w:fill="FFFFFF"/>
            <w:noWrap/>
            <w:vAlign w:val="center"/>
          </w:tcPr>
          <w:p w14:paraId="1DF86C03">
            <w:pPr>
              <w:jc w:val="center"/>
              <w:rPr>
                <w:rFonts w:ascii="仿宋" w:hAnsi="仿宋" w:eastAsia="仿宋" w:cs="宋体"/>
                <w:sz w:val="22"/>
              </w:rPr>
            </w:pPr>
            <w:r>
              <w:rPr>
                <w:rFonts w:hint="eastAsia" w:ascii="仿宋" w:hAnsi="仿宋" w:eastAsia="仿宋"/>
                <w:sz w:val="22"/>
              </w:rPr>
              <w:t>0.71</w:t>
            </w:r>
          </w:p>
        </w:tc>
      </w:tr>
      <w:tr w14:paraId="2276A73E">
        <w:tblPrEx>
          <w:tblCellMar>
            <w:top w:w="0" w:type="dxa"/>
            <w:left w:w="108" w:type="dxa"/>
            <w:bottom w:w="0" w:type="dxa"/>
            <w:right w:w="108" w:type="dxa"/>
          </w:tblCellMar>
        </w:tblPrEx>
        <w:trPr>
          <w:trHeight w:val="340" w:hRule="exact"/>
        </w:trPr>
        <w:tc>
          <w:tcPr>
            <w:tcW w:w="2824" w:type="pct"/>
            <w:tcBorders>
              <w:top w:val="nil"/>
              <w:left w:val="single" w:color="auto" w:sz="4" w:space="0"/>
              <w:bottom w:val="single" w:color="auto" w:sz="4" w:space="0"/>
              <w:right w:val="single" w:color="auto" w:sz="4" w:space="0"/>
            </w:tcBorders>
            <w:shd w:val="clear" w:color="000000" w:fill="FFFFFF"/>
            <w:noWrap/>
            <w:vAlign w:val="center"/>
          </w:tcPr>
          <w:p w14:paraId="316CBCB0">
            <w:pPr>
              <w:widowControl/>
              <w:autoSpaceDE w:val="0"/>
              <w:autoSpaceDN w:val="0"/>
              <w:jc w:val="left"/>
              <w:rPr>
                <w:rFonts w:ascii="仿宋" w:hAnsi="仿宋" w:eastAsia="仿宋" w:cs="仿宋"/>
                <w:kern w:val="0"/>
                <w:sz w:val="24"/>
                <w:lang w:val="zh-CN" w:bidi="zh-CN"/>
              </w:rPr>
            </w:pPr>
            <w:r>
              <w:rPr>
                <w:rFonts w:hint="eastAsia" w:ascii="仿宋" w:hAnsi="仿宋" w:eastAsia="仿宋" w:cs="仿宋"/>
                <w:kern w:val="0"/>
                <w:sz w:val="24"/>
                <w:lang w:val="zh-CN" w:bidi="zh-CN"/>
              </w:rPr>
              <w:t>3.公务车辆购置及运行费</w:t>
            </w:r>
          </w:p>
        </w:tc>
        <w:tc>
          <w:tcPr>
            <w:tcW w:w="1088" w:type="pct"/>
            <w:tcBorders>
              <w:top w:val="nil"/>
              <w:left w:val="nil"/>
              <w:bottom w:val="single" w:color="auto" w:sz="4" w:space="0"/>
              <w:right w:val="single" w:color="auto" w:sz="4" w:space="0"/>
            </w:tcBorders>
            <w:shd w:val="clear" w:color="000000" w:fill="FFFFFF"/>
            <w:noWrap/>
            <w:vAlign w:val="center"/>
          </w:tcPr>
          <w:p w14:paraId="1A4E9456">
            <w:pPr>
              <w:jc w:val="center"/>
              <w:rPr>
                <w:rFonts w:ascii="仿宋" w:hAnsi="仿宋" w:eastAsia="仿宋" w:cs="宋体"/>
                <w:sz w:val="22"/>
              </w:rPr>
            </w:pPr>
            <w:r>
              <w:rPr>
                <w:rFonts w:hint="eastAsia" w:ascii="仿宋" w:hAnsi="仿宋" w:eastAsia="仿宋"/>
                <w:sz w:val="22"/>
              </w:rPr>
              <w:t>25.06</w:t>
            </w:r>
          </w:p>
        </w:tc>
        <w:tc>
          <w:tcPr>
            <w:tcW w:w="1088" w:type="pct"/>
            <w:tcBorders>
              <w:top w:val="nil"/>
              <w:left w:val="nil"/>
              <w:bottom w:val="single" w:color="auto" w:sz="4" w:space="0"/>
              <w:right w:val="single" w:color="auto" w:sz="4" w:space="0"/>
            </w:tcBorders>
            <w:shd w:val="clear" w:color="000000" w:fill="FFFFFF"/>
            <w:noWrap/>
            <w:vAlign w:val="center"/>
          </w:tcPr>
          <w:p w14:paraId="62E0D62A">
            <w:pPr>
              <w:jc w:val="center"/>
              <w:rPr>
                <w:rFonts w:ascii="仿宋" w:hAnsi="仿宋" w:eastAsia="仿宋" w:cs="宋体"/>
                <w:sz w:val="22"/>
              </w:rPr>
            </w:pPr>
            <w:r>
              <w:rPr>
                <w:rFonts w:hint="eastAsia" w:ascii="仿宋" w:hAnsi="仿宋" w:eastAsia="仿宋"/>
                <w:sz w:val="22"/>
              </w:rPr>
              <w:t>6.5</w:t>
            </w:r>
          </w:p>
        </w:tc>
      </w:tr>
      <w:tr w14:paraId="1F655200">
        <w:tblPrEx>
          <w:tblCellMar>
            <w:top w:w="0" w:type="dxa"/>
            <w:left w:w="108" w:type="dxa"/>
            <w:bottom w:w="0" w:type="dxa"/>
            <w:right w:w="108" w:type="dxa"/>
          </w:tblCellMar>
        </w:tblPrEx>
        <w:trPr>
          <w:trHeight w:val="340" w:hRule="exact"/>
        </w:trPr>
        <w:tc>
          <w:tcPr>
            <w:tcW w:w="2824" w:type="pct"/>
            <w:tcBorders>
              <w:top w:val="nil"/>
              <w:left w:val="single" w:color="auto" w:sz="4" w:space="0"/>
              <w:bottom w:val="single" w:color="auto" w:sz="4" w:space="0"/>
              <w:right w:val="single" w:color="auto" w:sz="4" w:space="0"/>
            </w:tcBorders>
            <w:shd w:val="clear" w:color="000000" w:fill="FFFFFF"/>
            <w:noWrap/>
            <w:vAlign w:val="center"/>
          </w:tcPr>
          <w:p w14:paraId="602DD1A6">
            <w:pPr>
              <w:widowControl/>
              <w:autoSpaceDE w:val="0"/>
              <w:autoSpaceDN w:val="0"/>
              <w:jc w:val="center"/>
              <w:rPr>
                <w:rFonts w:ascii="仿宋" w:hAnsi="仿宋" w:eastAsia="仿宋" w:cs="仿宋"/>
                <w:kern w:val="0"/>
                <w:sz w:val="24"/>
                <w:lang w:val="zh-CN" w:bidi="zh-CN"/>
              </w:rPr>
            </w:pPr>
            <w:r>
              <w:rPr>
                <w:rFonts w:hint="eastAsia" w:ascii="仿宋" w:hAnsi="仿宋" w:eastAsia="仿宋" w:cs="仿宋"/>
                <w:kern w:val="0"/>
                <w:sz w:val="24"/>
                <w:lang w:val="zh-CN" w:bidi="zh-CN"/>
              </w:rPr>
              <w:t>合 计</w:t>
            </w:r>
          </w:p>
        </w:tc>
        <w:tc>
          <w:tcPr>
            <w:tcW w:w="1088" w:type="pct"/>
            <w:tcBorders>
              <w:top w:val="nil"/>
              <w:left w:val="nil"/>
              <w:bottom w:val="single" w:color="auto" w:sz="4" w:space="0"/>
              <w:right w:val="single" w:color="auto" w:sz="4" w:space="0"/>
            </w:tcBorders>
            <w:shd w:val="clear" w:color="000000" w:fill="FFFFFF"/>
            <w:noWrap/>
            <w:vAlign w:val="center"/>
          </w:tcPr>
          <w:p w14:paraId="18DF054A">
            <w:pPr>
              <w:autoSpaceDE w:val="0"/>
              <w:autoSpaceDN w:val="0"/>
              <w:jc w:val="center"/>
              <w:rPr>
                <w:rFonts w:ascii="仿宋" w:hAnsi="仿宋" w:eastAsia="仿宋" w:cs="仿宋"/>
                <w:kern w:val="0"/>
                <w:sz w:val="22"/>
                <w:lang w:bidi="zh-CN"/>
              </w:rPr>
            </w:pPr>
            <w:r>
              <w:rPr>
                <w:rFonts w:hint="eastAsia" w:ascii="仿宋" w:hAnsi="仿宋" w:eastAsia="仿宋" w:cs="仿宋"/>
                <w:kern w:val="0"/>
                <w:sz w:val="22"/>
                <w:lang w:bidi="zh-CN"/>
              </w:rPr>
              <w:t>27.06</w:t>
            </w:r>
          </w:p>
        </w:tc>
        <w:tc>
          <w:tcPr>
            <w:tcW w:w="1088" w:type="pct"/>
            <w:tcBorders>
              <w:top w:val="nil"/>
              <w:left w:val="nil"/>
              <w:bottom w:val="single" w:color="auto" w:sz="4" w:space="0"/>
              <w:right w:val="single" w:color="auto" w:sz="4" w:space="0"/>
            </w:tcBorders>
            <w:shd w:val="clear" w:color="000000" w:fill="FFFFFF"/>
            <w:noWrap/>
            <w:vAlign w:val="center"/>
          </w:tcPr>
          <w:p w14:paraId="4D320530">
            <w:pPr>
              <w:autoSpaceDE w:val="0"/>
              <w:autoSpaceDN w:val="0"/>
              <w:jc w:val="center"/>
              <w:rPr>
                <w:rFonts w:ascii="仿宋" w:hAnsi="仿宋" w:eastAsia="仿宋" w:cs="仿宋"/>
                <w:kern w:val="0"/>
                <w:sz w:val="22"/>
                <w:lang w:bidi="zh-CN"/>
              </w:rPr>
            </w:pPr>
            <w:r>
              <w:rPr>
                <w:rFonts w:hint="eastAsia" w:ascii="仿宋" w:hAnsi="仿宋" w:eastAsia="仿宋" w:cs="仿宋"/>
                <w:kern w:val="0"/>
                <w:sz w:val="22"/>
                <w:lang w:bidi="zh-CN"/>
              </w:rPr>
              <w:t>7.21</w:t>
            </w:r>
          </w:p>
        </w:tc>
      </w:tr>
    </w:tbl>
    <w:p w14:paraId="07DDA23C">
      <w:pPr>
        <w:numPr>
          <w:ilvl w:val="0"/>
          <w:numId w:val="1"/>
        </w:numPr>
        <w:spacing w:line="580" w:lineRule="exact"/>
        <w:ind w:firstLine="602" w:firstLineChars="200"/>
        <w:rPr>
          <w:rFonts w:ascii="仿宋" w:hAnsi="仿宋" w:eastAsia="仿宋" w:cs="仿宋"/>
          <w:b/>
          <w:bCs/>
          <w:sz w:val="30"/>
          <w:szCs w:val="30"/>
        </w:rPr>
      </w:pPr>
      <w:r>
        <w:rPr>
          <w:rFonts w:hint="eastAsia" w:ascii="仿宋" w:hAnsi="仿宋" w:eastAsia="仿宋" w:cs="仿宋"/>
          <w:b/>
          <w:bCs/>
          <w:sz w:val="30"/>
          <w:szCs w:val="30"/>
        </w:rPr>
        <w:t>部门绩效目标</w:t>
      </w:r>
    </w:p>
    <w:p w14:paraId="4FE4E5FE">
      <w:pPr>
        <w:spacing w:line="580" w:lineRule="exact"/>
        <w:ind w:firstLine="602" w:firstLineChars="200"/>
        <w:rPr>
          <w:rFonts w:ascii="仿宋" w:hAnsi="仿宋" w:eastAsia="仿宋"/>
          <w:b/>
          <w:bCs/>
          <w:sz w:val="30"/>
          <w:szCs w:val="30"/>
        </w:rPr>
      </w:pPr>
      <w:r>
        <w:rPr>
          <w:rFonts w:hint="eastAsia" w:ascii="仿宋" w:hAnsi="仿宋" w:eastAsia="仿宋"/>
          <w:b/>
          <w:bCs/>
          <w:sz w:val="30"/>
          <w:szCs w:val="30"/>
        </w:rPr>
        <w:t>1.部门中长期目标</w:t>
      </w:r>
    </w:p>
    <w:p w14:paraId="16E2B3C0">
      <w:pPr>
        <w:spacing w:line="580" w:lineRule="exact"/>
        <w:ind w:firstLine="600" w:firstLineChars="200"/>
        <w:rPr>
          <w:rFonts w:ascii="仿宋" w:hAnsi="仿宋" w:eastAsia="仿宋" w:cs="仿宋"/>
          <w:sz w:val="30"/>
          <w:szCs w:val="30"/>
        </w:rPr>
      </w:pPr>
      <w:r>
        <w:rPr>
          <w:rFonts w:hint="eastAsia" w:ascii="仿宋" w:hAnsi="仿宋" w:eastAsia="仿宋" w:cs="仿宋"/>
          <w:sz w:val="30"/>
          <w:szCs w:val="30"/>
        </w:rPr>
        <w:t>持续深化改革，探索卫生监督管理新模式，全面推进“互联网+” 系列工作。为积极推进省市“放管服”改革，实现监管工作标准化、规范化、精准化，我所严格按照有关要求加强业务学习，主动协调对接，在深入调研的基础上梳理 并编制消毒产品及生产经营单位监管、学校和托幼机构卫生工作监管、饮用水供水单位和涉及饮用水卫生安全产品的监管、公共场所监管。加快建设“智慧卫监”信息系统。在原有卫生监督信息系统基础之上，根据上级要求，加快“智慧卫监”信息系统建设，目前建成一个平台即“南京卫生健康综合监督管理”、五个系统，平台及系统全部运行正常。深入推进卫生行政执法全过程记录。进一步推进卫生行政执法全过程记录工作。</w:t>
      </w:r>
    </w:p>
    <w:p w14:paraId="76193536">
      <w:pPr>
        <w:spacing w:line="580" w:lineRule="exact"/>
        <w:ind w:firstLine="602" w:firstLineChars="200"/>
        <w:rPr>
          <w:rFonts w:ascii="仿宋" w:hAnsi="仿宋" w:eastAsia="仿宋"/>
          <w:b/>
          <w:bCs/>
          <w:sz w:val="30"/>
          <w:szCs w:val="30"/>
        </w:rPr>
      </w:pPr>
      <w:r>
        <w:rPr>
          <w:rFonts w:hint="eastAsia" w:ascii="仿宋" w:hAnsi="仿宋" w:eastAsia="仿宋"/>
          <w:b/>
          <w:bCs/>
          <w:sz w:val="30"/>
          <w:szCs w:val="30"/>
        </w:rPr>
        <w:t>2.2024年年度目标</w:t>
      </w:r>
    </w:p>
    <w:p w14:paraId="52A982EB">
      <w:pPr>
        <w:spacing w:line="580" w:lineRule="exact"/>
        <w:ind w:firstLine="602" w:firstLineChars="200"/>
        <w:rPr>
          <w:rFonts w:ascii="仿宋" w:hAnsi="仿宋" w:eastAsia="仿宋" w:cs="仿宋"/>
          <w:sz w:val="30"/>
          <w:szCs w:val="30"/>
        </w:rPr>
      </w:pPr>
      <w:r>
        <w:rPr>
          <w:rFonts w:hint="eastAsia" w:ascii="仿宋" w:hAnsi="仿宋" w:eastAsia="仿宋" w:cs="仿宋"/>
          <w:b/>
          <w:bCs/>
          <w:sz w:val="30"/>
          <w:szCs w:val="30"/>
        </w:rPr>
        <w:t>（1）强化现场执法检查。</w:t>
      </w:r>
      <w:r>
        <w:rPr>
          <w:rFonts w:hint="eastAsia" w:ascii="仿宋" w:hAnsi="仿宋" w:eastAsia="仿宋" w:cs="仿宋"/>
          <w:sz w:val="30"/>
          <w:szCs w:val="30"/>
        </w:rPr>
        <w:t>稳步推进双随机抽查工作，完结率为100%；完成各类跨部门联合抽查任务，随机抽查事项部门联合率100%。</w:t>
      </w:r>
      <w:r>
        <w:rPr>
          <w:rFonts w:hint="eastAsia" w:ascii="仿宋" w:hAnsi="仿宋" w:eastAsia="仿宋" w:cs="仿宋"/>
          <w:sz w:val="30"/>
          <w:szCs w:val="30"/>
          <w:lang w:val="en-US" w:eastAsia="zh-CN"/>
        </w:rPr>
        <w:t>着力提升案件查办质效</w:t>
      </w:r>
      <w:r>
        <w:rPr>
          <w:rFonts w:hint="eastAsia" w:ascii="仿宋" w:hAnsi="仿宋" w:eastAsia="仿宋" w:cs="仿宋"/>
          <w:sz w:val="30"/>
          <w:szCs w:val="30"/>
        </w:rPr>
        <w:t>；高效处置信访投诉举报，办结率100%；聚焦</w:t>
      </w:r>
      <w:r>
        <w:rPr>
          <w:rFonts w:ascii="仿宋" w:hAnsi="仿宋" w:eastAsia="仿宋" w:cs="仿宋"/>
          <w:sz w:val="30"/>
          <w:szCs w:val="30"/>
        </w:rPr>
        <w:t>群众关心和问题集中领域，组织全市深入开</w:t>
      </w:r>
      <w:r>
        <w:rPr>
          <w:rFonts w:hint="eastAsia" w:ascii="仿宋" w:hAnsi="仿宋" w:eastAsia="仿宋" w:cs="仿宋"/>
          <w:sz w:val="30"/>
          <w:szCs w:val="30"/>
        </w:rPr>
        <w:t>展</w:t>
      </w:r>
      <w:r>
        <w:rPr>
          <w:rFonts w:ascii="仿宋" w:hAnsi="仿宋" w:eastAsia="仿宋" w:cs="仿宋"/>
          <w:sz w:val="30"/>
          <w:szCs w:val="30"/>
        </w:rPr>
        <w:t>20</w:t>
      </w:r>
      <w:r>
        <w:rPr>
          <w:rFonts w:hint="eastAsia" w:ascii="仿宋" w:hAnsi="仿宋" w:eastAsia="仿宋" w:cs="仿宋"/>
          <w:sz w:val="30"/>
          <w:szCs w:val="30"/>
        </w:rPr>
        <w:t>余</w:t>
      </w:r>
      <w:r>
        <w:rPr>
          <w:rFonts w:ascii="仿宋" w:hAnsi="仿宋" w:eastAsia="仿宋" w:cs="仿宋"/>
          <w:sz w:val="30"/>
          <w:szCs w:val="30"/>
        </w:rPr>
        <w:t>个专项督查</w:t>
      </w:r>
      <w:r>
        <w:rPr>
          <w:rFonts w:hint="eastAsia" w:ascii="仿宋" w:hAnsi="仿宋" w:eastAsia="仿宋" w:cs="仿宋"/>
          <w:sz w:val="30"/>
          <w:szCs w:val="30"/>
        </w:rPr>
        <w:t>；深入推进跨部门协作。</w:t>
      </w:r>
    </w:p>
    <w:p w14:paraId="32A66439">
      <w:pPr>
        <w:spacing w:line="580" w:lineRule="exact"/>
        <w:ind w:firstLine="602" w:firstLineChars="200"/>
        <w:rPr>
          <w:rFonts w:ascii="仿宋" w:hAnsi="仿宋" w:eastAsia="仿宋" w:cs="仿宋"/>
          <w:sz w:val="30"/>
          <w:szCs w:val="30"/>
        </w:rPr>
      </w:pPr>
      <w:r>
        <w:rPr>
          <w:rFonts w:hint="eastAsia" w:ascii="仿宋" w:hAnsi="仿宋" w:eastAsia="仿宋" w:cs="仿宋"/>
          <w:b/>
          <w:bCs/>
          <w:sz w:val="30"/>
          <w:szCs w:val="30"/>
        </w:rPr>
        <w:t>（2）推进医疗服务多元化监管。</w:t>
      </w:r>
      <w:r>
        <w:rPr>
          <w:rFonts w:hint="eastAsia" w:ascii="仿宋" w:hAnsi="仿宋" w:eastAsia="仿宋" w:cs="仿宋"/>
          <w:sz w:val="30"/>
          <w:szCs w:val="30"/>
        </w:rPr>
        <w:t>持续开展职业病危害分级分类监管、消毒产品生产企业分类监督；在二次供水、游泳池水、学校直饮水、医用辐射、医疗废物、餐饮具消毒、公共场所等专业开展非现场执法。打造生活饮用水卫生监督执法实训基地、中医药监督执法实训基地、医疗美容监督执法实训基地。</w:t>
      </w:r>
    </w:p>
    <w:p w14:paraId="21320864">
      <w:pPr>
        <w:widowControl/>
        <w:spacing w:line="580" w:lineRule="exact"/>
        <w:ind w:firstLine="602" w:firstLineChars="200"/>
        <w:jc w:val="left"/>
        <w:rPr>
          <w:rFonts w:ascii="仿宋" w:hAnsi="仿宋" w:eastAsia="仿宋" w:cs="仿宋"/>
          <w:sz w:val="30"/>
          <w:szCs w:val="30"/>
        </w:rPr>
      </w:pPr>
      <w:r>
        <w:rPr>
          <w:rFonts w:hint="eastAsia" w:ascii="仿宋" w:hAnsi="仿宋" w:eastAsia="仿宋" w:cs="仿宋"/>
          <w:b/>
          <w:bCs/>
          <w:sz w:val="30"/>
          <w:szCs w:val="30"/>
        </w:rPr>
        <w:t>（3）推进普法惠民工程。</w:t>
      </w:r>
      <w:r>
        <w:rPr>
          <w:rFonts w:hint="eastAsia" w:ascii="仿宋" w:hAnsi="仿宋" w:eastAsia="仿宋" w:cs="仿宋"/>
          <w:sz w:val="30"/>
          <w:szCs w:val="30"/>
        </w:rPr>
        <w:t>坚持“谁执法谁普法”责任制，巩固拓展“我为群众办实事”实践活动，党建与业务同向发力，针对不同对象、不同行业，以需求定主题，制定</w:t>
      </w:r>
      <w:bookmarkStart w:id="0" w:name="_GoBack"/>
      <w:bookmarkEnd w:id="0"/>
      <w:r>
        <w:rPr>
          <w:rFonts w:hint="eastAsia" w:ascii="仿宋" w:hAnsi="仿宋" w:eastAsia="仿宋" w:cs="仿宋"/>
          <w:sz w:val="30"/>
          <w:szCs w:val="30"/>
        </w:rPr>
        <w:t>“普法菜单”，开展送法进医院、进企业、进学校、进社区等活动，深化分业分类分众法治宣传教育。通过精准普法，全面提升社会公众的健康意识和法治素养，营造学法知法守法良好氛围。</w:t>
      </w:r>
    </w:p>
    <w:p w14:paraId="77F7E762">
      <w:pPr>
        <w:widowControl/>
        <w:spacing w:line="580" w:lineRule="exact"/>
        <w:ind w:firstLine="602" w:firstLineChars="200"/>
        <w:jc w:val="left"/>
        <w:rPr>
          <w:rFonts w:ascii="仿宋" w:hAnsi="仿宋" w:eastAsia="仿宋" w:cs="仿宋"/>
          <w:sz w:val="30"/>
          <w:szCs w:val="30"/>
        </w:rPr>
      </w:pPr>
      <w:r>
        <w:rPr>
          <w:rFonts w:hint="eastAsia" w:ascii="仿宋" w:hAnsi="仿宋" w:eastAsia="仿宋" w:cs="仿宋"/>
          <w:b/>
          <w:bCs/>
          <w:sz w:val="30"/>
          <w:szCs w:val="30"/>
        </w:rPr>
        <w:t>（4）狠抓案件质量，推进精品铁案工程。</w:t>
      </w:r>
      <w:r>
        <w:rPr>
          <w:rFonts w:hint="eastAsia" w:ascii="仿宋" w:hAnsi="仿宋" w:eastAsia="仿宋" w:cs="仿宋"/>
          <w:sz w:val="30"/>
          <w:szCs w:val="30"/>
        </w:rPr>
        <w:t>牢固树立“铁案、精品案”的意识，实现行政处罚案件法律效果、社会效果、政治效果的统一。一是以查找病灶“明短板”。对近年来办结的案件进行品控梳理，围绕案件风险、卷宗质量等关键点，在案情回演、互动回看、质效回溯中，总结经验、分析不足、查找短板，推动案件全面巩固、扫清盲点。二是以监督指导“把关口”。对于重大复杂疑难案件，紧盯案件定性疑点、紧抓违法主体要件，主动邀请相关部门处室跟进指导，提升提前介入的工作实效，构建“大控方”格局。三是以沟通会商“提质效”。建立重点案件“会商+智库”机制，借助各领域专业人士优势，强化专业性业务管理与卫生行政执法的有效衔接，以专业性业务管理指导卫生监督执法实践，切实提升案件查办质量和水准。</w:t>
      </w:r>
    </w:p>
    <w:p w14:paraId="45C8F495">
      <w:pPr>
        <w:widowControl/>
        <w:spacing w:line="580" w:lineRule="exact"/>
        <w:ind w:firstLine="640" w:firstLineChars="200"/>
        <w:jc w:val="left"/>
        <w:rPr>
          <w:rFonts w:ascii="黑体" w:hAnsi="黑体" w:eastAsia="黑体" w:cs="宋体"/>
          <w:kern w:val="0"/>
          <w:sz w:val="24"/>
        </w:rPr>
      </w:pPr>
      <w:r>
        <w:rPr>
          <w:rFonts w:hint="eastAsia" w:ascii="黑体" w:hAnsi="黑体" w:eastAsia="黑体" w:cs="宋体"/>
          <w:color w:val="000000"/>
          <w:kern w:val="0"/>
          <w:sz w:val="32"/>
          <w:szCs w:val="32"/>
        </w:rPr>
        <w:t>二、评价结论</w:t>
      </w:r>
    </w:p>
    <w:p w14:paraId="51C93637">
      <w:pPr>
        <w:widowControl/>
        <w:spacing w:line="580" w:lineRule="exact"/>
        <w:ind w:firstLine="643" w:firstLineChars="200"/>
        <w:jc w:val="left"/>
        <w:rPr>
          <w:rFonts w:ascii="仿宋" w:hAnsi="仿宋" w:eastAsia="仿宋" w:cs="宋体"/>
          <w:b/>
          <w:bCs/>
          <w:color w:val="000000"/>
          <w:kern w:val="0"/>
          <w:sz w:val="32"/>
          <w:szCs w:val="32"/>
        </w:rPr>
      </w:pPr>
      <w:r>
        <w:rPr>
          <w:rFonts w:hint="eastAsia" w:ascii="仿宋" w:hAnsi="仿宋" w:eastAsia="仿宋" w:cs="宋体"/>
          <w:b/>
          <w:bCs/>
          <w:color w:val="000000"/>
          <w:kern w:val="0"/>
          <w:sz w:val="32"/>
          <w:szCs w:val="32"/>
        </w:rPr>
        <w:t>（一）评价目的</w:t>
      </w:r>
    </w:p>
    <w:p w14:paraId="685BA073">
      <w:pPr>
        <w:widowControl/>
        <w:spacing w:line="580" w:lineRule="exact"/>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全面贯彻落实《中共江苏省委江苏省人民政府关于全面实施预算绩效管理的实施意见》、《预算绩效管理工作规划（2012—2015）》（财预〔2012〕396 号）以及省、市相关文件精神，促进部门整体提升预算绩效管理工作水平及使用效益，保障部门更好地履行职责，具体为：一是通过对单位整体支出开展绩效评价，可以发现管理的薄弱环节，促进改进和创新管理方式，提高管理效能和管理质量。同时，发现部门在提供公共服务方面存在的短板和不足，为有效提高财政资金配置水平和提升政府公共服务质量做出积极探索;二是部门整体支出绩效评价更加关注部门财政资金的预算安排的合理性和整体效益，例如，资金结构与部门职能的匹配程度、预算规模对部门绩效目标实现的保障水平、资金的支出与部门所提供的公共服务的支持程度等，因此，部门整体支出绩效评价的覆盖面更广、层次更深，更能综合反映部门财政资金的综合效益。</w:t>
      </w:r>
    </w:p>
    <w:p w14:paraId="468D21CC">
      <w:pPr>
        <w:widowControl/>
        <w:spacing w:line="580" w:lineRule="exact"/>
        <w:ind w:firstLine="643" w:firstLineChars="200"/>
        <w:jc w:val="left"/>
        <w:rPr>
          <w:rFonts w:ascii="仿宋" w:hAnsi="仿宋" w:eastAsia="仿宋" w:cs="宋体"/>
          <w:b/>
          <w:bCs/>
          <w:color w:val="000000"/>
          <w:kern w:val="0"/>
          <w:sz w:val="32"/>
          <w:szCs w:val="32"/>
        </w:rPr>
      </w:pPr>
      <w:r>
        <w:rPr>
          <w:rFonts w:hint="eastAsia" w:ascii="仿宋" w:hAnsi="仿宋" w:eastAsia="仿宋" w:cs="宋体"/>
          <w:b/>
          <w:bCs/>
          <w:color w:val="000000"/>
          <w:kern w:val="0"/>
          <w:sz w:val="32"/>
          <w:szCs w:val="32"/>
        </w:rPr>
        <w:t>（二）评价范围</w:t>
      </w:r>
    </w:p>
    <w:p w14:paraId="56253427">
      <w:pPr>
        <w:widowControl/>
        <w:spacing w:line="580" w:lineRule="exact"/>
        <w:ind w:firstLine="642"/>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本次绩效评价的范围是南京市卫生监督所2024年度部门预算资金使用情况（南京市卫生监督所无市级专项资金）。</w:t>
      </w:r>
    </w:p>
    <w:p w14:paraId="1A293667">
      <w:pPr>
        <w:widowControl/>
        <w:numPr>
          <w:ilvl w:val="0"/>
          <w:numId w:val="2"/>
        </w:numPr>
        <w:spacing w:line="580" w:lineRule="exact"/>
        <w:ind w:firstLine="642"/>
        <w:jc w:val="left"/>
        <w:rPr>
          <w:rFonts w:ascii="仿宋" w:hAnsi="仿宋" w:eastAsia="仿宋" w:cs="宋体"/>
          <w:b/>
          <w:bCs/>
          <w:color w:val="000000"/>
          <w:kern w:val="0"/>
          <w:sz w:val="32"/>
          <w:szCs w:val="32"/>
        </w:rPr>
      </w:pPr>
      <w:r>
        <w:rPr>
          <w:rFonts w:hint="eastAsia" w:ascii="仿宋" w:hAnsi="仿宋" w:eastAsia="仿宋" w:cs="宋体"/>
          <w:b/>
          <w:bCs/>
          <w:color w:val="000000"/>
          <w:kern w:val="0"/>
          <w:sz w:val="32"/>
          <w:szCs w:val="32"/>
        </w:rPr>
        <w:t>评价方法</w:t>
      </w:r>
    </w:p>
    <w:p w14:paraId="1B8DAE96">
      <w:pPr>
        <w:widowControl/>
        <w:spacing w:line="580" w:lineRule="exact"/>
        <w:ind w:firstLine="642"/>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本次绩效评价遵循的原则：科学规范原则、客观性原则、 突出重点原则、绩效相关原则。本次绩效评价根据南京市财政局《南京市级财政预算绩效管理办法》及《南京市级财政预算绩效评价操作规程（试行）》等相关规定，采用目标比较法、调研法、定性与定量相结合的方法。本次绩效评价运用的指标体系根据南京市卫生监督所职能特点、履职目标制定而成。</w:t>
      </w:r>
    </w:p>
    <w:p w14:paraId="5A1BBED9">
      <w:pPr>
        <w:widowControl/>
        <w:spacing w:line="580" w:lineRule="exact"/>
        <w:ind w:firstLine="643" w:firstLineChars="200"/>
        <w:jc w:val="left"/>
        <w:rPr>
          <w:rFonts w:ascii="仿宋" w:hAnsi="仿宋" w:eastAsia="仿宋" w:cs="宋体"/>
          <w:b/>
          <w:bCs/>
          <w:color w:val="000000"/>
          <w:kern w:val="0"/>
          <w:sz w:val="32"/>
          <w:szCs w:val="32"/>
        </w:rPr>
      </w:pPr>
      <w:r>
        <w:rPr>
          <w:rFonts w:hint="eastAsia" w:ascii="仿宋" w:hAnsi="仿宋" w:eastAsia="仿宋" w:cs="宋体"/>
          <w:b/>
          <w:bCs/>
          <w:color w:val="000000"/>
          <w:kern w:val="0"/>
          <w:sz w:val="32"/>
          <w:szCs w:val="32"/>
        </w:rPr>
        <w:t>（四）绩效评价结论</w:t>
      </w:r>
    </w:p>
    <w:p w14:paraId="27035131">
      <w:pPr>
        <w:widowControl/>
        <w:spacing w:line="580" w:lineRule="exact"/>
        <w:ind w:firstLine="642"/>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本次评价从部门决策、过程、履职和效果四个方面着手，依据设定的评价指标体系及评分标准，通过数据采集、问卷调查及访谈，对 2024 年度整体进行客观评价。以指标体系为基础，经过确认评价基础数据，按照制定的评价标准与评分规则，项目组以 100 分为评价标杆分值，从部门决策、部门管理、部门履职、履职绩效、可持续发展能力等五个方面进行综合评价和量化打分。经评价，南京市应急管理局部门整体绩效支出评价得分</w:t>
      </w:r>
      <w:r>
        <w:rPr>
          <w:rFonts w:hint="eastAsia" w:ascii="仿宋" w:hAnsi="仿宋" w:eastAsia="仿宋" w:cs="宋体"/>
          <w:kern w:val="0"/>
          <w:sz w:val="32"/>
          <w:szCs w:val="32"/>
        </w:rPr>
        <w:t>为 91.45 分，绩效等级为“优”。</w:t>
      </w:r>
    </w:p>
    <w:p w14:paraId="3437F3E8">
      <w:pPr>
        <w:widowControl/>
        <w:numPr>
          <w:ilvl w:val="0"/>
          <w:numId w:val="3"/>
        </w:numPr>
        <w:spacing w:line="580" w:lineRule="exact"/>
        <w:ind w:firstLine="640" w:firstLineChars="200"/>
        <w:jc w:val="left"/>
        <w:rPr>
          <w:rFonts w:ascii="黑体" w:hAnsi="黑体" w:eastAsia="黑体" w:cs="宋体"/>
          <w:color w:val="000000"/>
          <w:kern w:val="0"/>
          <w:sz w:val="32"/>
          <w:szCs w:val="32"/>
        </w:rPr>
      </w:pPr>
      <w:r>
        <w:rPr>
          <w:rFonts w:hint="eastAsia" w:ascii="黑体" w:hAnsi="黑体" w:eastAsia="黑体" w:cs="宋体"/>
          <w:color w:val="000000"/>
          <w:kern w:val="0"/>
          <w:sz w:val="32"/>
          <w:szCs w:val="32"/>
        </w:rPr>
        <w:t>部门履职成效</w:t>
      </w:r>
    </w:p>
    <w:p w14:paraId="51CCF38B">
      <w:pPr>
        <w:widowControl/>
        <w:spacing w:line="580" w:lineRule="exact"/>
        <w:jc w:val="left"/>
        <w:rPr>
          <w:rFonts w:ascii="仿宋" w:hAnsi="仿宋" w:eastAsia="仿宋" w:cs="宋体"/>
          <w:color w:val="000000"/>
          <w:kern w:val="0"/>
          <w:sz w:val="32"/>
          <w:szCs w:val="32"/>
        </w:rPr>
      </w:pPr>
      <w:r>
        <w:rPr>
          <w:rFonts w:hint="eastAsia" w:ascii="仿宋" w:hAnsi="仿宋" w:eastAsia="仿宋" w:cs="宋体"/>
          <w:b/>
          <w:bCs/>
          <w:color w:val="000000"/>
          <w:kern w:val="0"/>
          <w:sz w:val="32"/>
          <w:szCs w:val="32"/>
        </w:rPr>
        <w:t>（一）部门决策</w:t>
      </w:r>
    </w:p>
    <w:p w14:paraId="5491BF6C">
      <w:pPr>
        <w:widowControl/>
        <w:spacing w:line="580" w:lineRule="exact"/>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南京市卫生监督所确立了五级决策机制。根据“重大经济事项的内部决策，应当由单位领导班子集体研究决定。”的规定，遵循科学决策、民主决策、依法决策原则。重大资金使用、中长期规划、年度预算草案、年度财务决算等重大行政事项由集体决策。对所办公会议集体作出的决定，各科室按照分工负责的原则组织实施，各科室要相互信任、相互支持，切实履行自己的职责，保证决策事项的贯彻落实。除特殊事项外，经过所办公会议集体议事决策的重大事项要严格执行，对重大结果采取适当方式予以公开，增强决策的透明度。有效完善了集体决策机制。</w:t>
      </w:r>
    </w:p>
    <w:p w14:paraId="4DDA0EDA">
      <w:pPr>
        <w:widowControl/>
        <w:spacing w:line="580" w:lineRule="exact"/>
        <w:ind w:firstLine="643" w:firstLineChars="200"/>
        <w:jc w:val="left"/>
        <w:rPr>
          <w:rFonts w:ascii="仿宋" w:hAnsi="仿宋" w:eastAsia="仿宋" w:cs="宋体"/>
          <w:b/>
          <w:bCs/>
          <w:color w:val="000000"/>
          <w:kern w:val="0"/>
          <w:sz w:val="32"/>
          <w:szCs w:val="32"/>
        </w:rPr>
      </w:pPr>
      <w:r>
        <w:rPr>
          <w:rFonts w:hint="eastAsia" w:ascii="仿宋" w:hAnsi="仿宋" w:eastAsia="仿宋" w:cs="宋体"/>
          <w:b/>
          <w:bCs/>
          <w:color w:val="000000"/>
          <w:kern w:val="0"/>
          <w:sz w:val="32"/>
          <w:szCs w:val="32"/>
        </w:rPr>
        <w:t>（二）部门管理</w:t>
      </w:r>
    </w:p>
    <w:p w14:paraId="1A418A69">
      <w:pPr>
        <w:widowControl/>
        <w:spacing w:line="580" w:lineRule="exact"/>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加强制度建设，规范内部管理。坚持把制度建设作为加强作风建设的立足点，做到有章可循、执章必严、违章必究。一是严肃工作纪律，完善各项制度。梳理修订行政管理、财务管理、业务管理等制度规范共计72项，扎紧制度藩篱，提升全所各项管理工作的规范化水平。二是狠抓制度落实，严格内部考核。建立全所督查工作机制，按照内部考核办法，对科室、人员效能实行量化评估，综合运用督查、考核成果，保障各项制度落地生根，以制度建设推动工作全面增效。三是从风险评估和制度建设两个方面加强单位内部管理。确保单位经济活动合法合规、资产安全和使用有效、财务信息真实完整，有效防范舞弊和预防腐败，提高公共服务的效率和效果。四是通过内控数字平台实现单位经济活动的全过程留痕管控，并解决一直以来困扰单位的跨年项目、跨经济活动业务、跨预算来源的项目等管理难题，构建科学、有效的权力制衡和监督平台。平台按照政府会计准则制度和内部控制规范的业务应用要求进行顶层设计和建设，推动单位管理变革和流程再造，规范财务运行机制。</w:t>
      </w:r>
    </w:p>
    <w:p w14:paraId="68215624">
      <w:pPr>
        <w:widowControl/>
        <w:spacing w:line="580" w:lineRule="exact"/>
        <w:ind w:firstLine="643" w:firstLineChars="200"/>
        <w:jc w:val="left"/>
        <w:rPr>
          <w:rFonts w:ascii="黑体" w:hAnsi="黑体" w:eastAsia="黑体" w:cs="宋体"/>
          <w:b/>
          <w:bCs/>
          <w:color w:val="000000"/>
          <w:kern w:val="0"/>
          <w:sz w:val="32"/>
          <w:szCs w:val="32"/>
        </w:rPr>
      </w:pPr>
      <w:r>
        <w:rPr>
          <w:rFonts w:hint="eastAsia" w:ascii="仿宋" w:hAnsi="仿宋" w:eastAsia="仿宋" w:cs="宋体"/>
          <w:b/>
          <w:bCs/>
          <w:color w:val="000000"/>
          <w:kern w:val="0"/>
          <w:sz w:val="32"/>
          <w:szCs w:val="32"/>
        </w:rPr>
        <w:t>（三）履职成效</w:t>
      </w:r>
    </w:p>
    <w:p w14:paraId="53E11A5B">
      <w:pPr>
        <w:spacing w:line="560" w:lineRule="exact"/>
        <w:ind w:firstLine="602" w:firstLineChars="200"/>
        <w:rPr>
          <w:rFonts w:ascii="仿宋" w:hAnsi="仿宋" w:eastAsia="仿宋" w:cs="宋体"/>
          <w:color w:val="000000"/>
          <w:kern w:val="0"/>
          <w:sz w:val="32"/>
          <w:szCs w:val="32"/>
        </w:rPr>
      </w:pPr>
      <w:r>
        <w:rPr>
          <w:rFonts w:ascii="仿宋" w:hAnsi="仿宋" w:eastAsia="仿宋" w:cs="仿宋"/>
          <w:b/>
          <w:bCs/>
          <w:sz w:val="30"/>
          <w:szCs w:val="30"/>
        </w:rPr>
        <w:t xml:space="preserve">1. </w:t>
      </w:r>
      <w:r>
        <w:rPr>
          <w:rFonts w:hint="eastAsia" w:ascii="仿宋" w:hAnsi="仿宋" w:eastAsia="仿宋" w:cs="仿宋"/>
          <w:b/>
          <w:bCs/>
          <w:sz w:val="30"/>
          <w:szCs w:val="30"/>
        </w:rPr>
        <w:t>社会效益。</w:t>
      </w:r>
      <w:r>
        <w:rPr>
          <w:rFonts w:ascii="仿宋" w:hAnsi="仿宋" w:eastAsia="仿宋" w:cs="宋体"/>
          <w:color w:val="000000"/>
          <w:kern w:val="0"/>
          <w:sz w:val="32"/>
          <w:szCs w:val="32"/>
        </w:rPr>
        <w:t>履行卫生行政执法职责，维护社会健康环境与秩序，维护群众健康权益。受理信访投诉举报</w:t>
      </w:r>
      <w:r>
        <w:rPr>
          <w:rFonts w:hint="eastAsia" w:ascii="仿宋" w:hAnsi="仿宋" w:eastAsia="仿宋" w:cs="宋体"/>
          <w:color w:val="000000"/>
          <w:kern w:val="0"/>
          <w:sz w:val="32"/>
          <w:szCs w:val="32"/>
        </w:rPr>
        <w:t>98</w:t>
      </w:r>
      <w:r>
        <w:rPr>
          <w:rFonts w:ascii="仿宋" w:hAnsi="仿宋" w:eastAsia="仿宋" w:cs="宋体"/>
          <w:color w:val="000000"/>
          <w:kern w:val="0"/>
          <w:sz w:val="32"/>
          <w:szCs w:val="32"/>
        </w:rPr>
        <w:t>件。开展南京市餐饮具集中消毒企业“市民开放日”活动；上门宣讲《江苏省生活饮用水卫生监督条例》；开展食品安全标准宣传；常态化开展卫生普法进医院、进企业、进社区活动</w:t>
      </w:r>
      <w:r>
        <w:rPr>
          <w:rFonts w:hint="eastAsia" w:ascii="仿宋" w:hAnsi="仿宋" w:eastAsia="仿宋" w:cs="宋体"/>
          <w:color w:val="000000"/>
          <w:kern w:val="0"/>
          <w:sz w:val="32"/>
          <w:szCs w:val="32"/>
        </w:rPr>
        <w:t>；</w:t>
      </w:r>
      <w:r>
        <w:rPr>
          <w:rFonts w:ascii="仿宋" w:hAnsi="仿宋" w:eastAsia="仿宋" w:cs="宋体"/>
          <w:color w:val="000000"/>
          <w:kern w:val="0"/>
          <w:sz w:val="32"/>
          <w:szCs w:val="32"/>
        </w:rPr>
        <w:t>拍摄医疗机构控烟公益短片，在紫金山新闻、南京日报等平台播放，传播量超50万</w:t>
      </w:r>
      <w:r>
        <w:rPr>
          <w:rFonts w:hint="eastAsia" w:ascii="仿宋" w:hAnsi="仿宋" w:eastAsia="仿宋" w:cs="宋体"/>
          <w:color w:val="000000"/>
          <w:kern w:val="0"/>
          <w:sz w:val="32"/>
          <w:szCs w:val="32"/>
        </w:rPr>
        <w:t>次</w:t>
      </w:r>
      <w:r>
        <w:rPr>
          <w:rFonts w:ascii="仿宋" w:hAnsi="仿宋" w:eastAsia="仿宋" w:cs="宋体"/>
          <w:color w:val="000000"/>
          <w:kern w:val="0"/>
          <w:sz w:val="32"/>
          <w:szCs w:val="32"/>
        </w:rPr>
        <w:t>；</w:t>
      </w:r>
      <w:r>
        <w:rPr>
          <w:rFonts w:hint="eastAsia" w:ascii="仿宋" w:hAnsi="仿宋" w:eastAsia="仿宋" w:cs="宋体"/>
          <w:color w:val="000000"/>
          <w:kern w:val="0"/>
          <w:sz w:val="32"/>
          <w:szCs w:val="32"/>
        </w:rPr>
        <w:t>“线上+线下”开展中医药、饮用水卫生宣传活动，</w:t>
      </w:r>
      <w:r>
        <w:rPr>
          <w:rFonts w:ascii="仿宋" w:hAnsi="仿宋" w:eastAsia="仿宋" w:cs="宋体"/>
          <w:color w:val="000000"/>
          <w:kern w:val="0"/>
          <w:sz w:val="32"/>
          <w:szCs w:val="32"/>
        </w:rPr>
        <w:t>微信有奖答题活动累计参与</w:t>
      </w:r>
      <w:r>
        <w:rPr>
          <w:rFonts w:hint="eastAsia" w:ascii="仿宋" w:hAnsi="仿宋" w:eastAsia="仿宋" w:cs="宋体"/>
          <w:color w:val="000000"/>
          <w:kern w:val="0"/>
          <w:sz w:val="32"/>
          <w:szCs w:val="32"/>
        </w:rPr>
        <w:t>10.2万人</w:t>
      </w:r>
      <w:r>
        <w:rPr>
          <w:rFonts w:ascii="仿宋" w:hAnsi="仿宋" w:eastAsia="仿宋" w:cs="宋体"/>
          <w:color w:val="000000"/>
          <w:kern w:val="0"/>
          <w:sz w:val="32"/>
          <w:szCs w:val="32"/>
        </w:rPr>
        <w:t>次，访问量</w:t>
      </w:r>
      <w:r>
        <w:rPr>
          <w:rFonts w:hint="eastAsia" w:ascii="仿宋" w:hAnsi="仿宋" w:eastAsia="仿宋" w:cs="宋体"/>
          <w:color w:val="000000"/>
          <w:kern w:val="0"/>
          <w:sz w:val="32"/>
          <w:szCs w:val="32"/>
        </w:rPr>
        <w:t>18.6万</w:t>
      </w:r>
      <w:r>
        <w:rPr>
          <w:rFonts w:ascii="仿宋" w:hAnsi="仿宋" w:eastAsia="仿宋" w:cs="宋体"/>
          <w:color w:val="000000"/>
          <w:kern w:val="0"/>
          <w:sz w:val="32"/>
          <w:szCs w:val="32"/>
        </w:rPr>
        <w:t>次。</w:t>
      </w:r>
    </w:p>
    <w:p w14:paraId="5E682842">
      <w:pPr>
        <w:spacing w:line="560" w:lineRule="exact"/>
        <w:ind w:firstLine="602" w:firstLineChars="200"/>
        <w:rPr>
          <w:rFonts w:ascii="仿宋" w:hAnsi="仿宋" w:eastAsia="仿宋" w:cs="宋体"/>
          <w:color w:val="000000"/>
          <w:kern w:val="0"/>
          <w:sz w:val="32"/>
          <w:szCs w:val="32"/>
        </w:rPr>
      </w:pPr>
      <w:r>
        <w:rPr>
          <w:rFonts w:ascii="仿宋" w:hAnsi="仿宋" w:eastAsia="仿宋" w:cs="仿宋"/>
          <w:b/>
          <w:bCs/>
          <w:sz w:val="30"/>
          <w:szCs w:val="30"/>
        </w:rPr>
        <w:t xml:space="preserve">2. </w:t>
      </w:r>
      <w:r>
        <w:rPr>
          <w:rFonts w:hint="eastAsia" w:ascii="仿宋" w:hAnsi="仿宋" w:eastAsia="仿宋" w:cs="仿宋"/>
          <w:b/>
          <w:bCs/>
          <w:sz w:val="30"/>
          <w:szCs w:val="30"/>
        </w:rPr>
        <w:t>经济效益。</w:t>
      </w:r>
      <w:r>
        <w:rPr>
          <w:rFonts w:hint="eastAsia" w:ascii="仿宋" w:hAnsi="仿宋" w:eastAsia="仿宋" w:cs="宋体"/>
          <w:color w:val="000000"/>
          <w:kern w:val="0"/>
          <w:sz w:val="32"/>
          <w:szCs w:val="32"/>
        </w:rPr>
        <w:t>配合市卫健委</w:t>
      </w:r>
      <w:r>
        <w:rPr>
          <w:rFonts w:ascii="仿宋" w:hAnsi="仿宋" w:eastAsia="仿宋" w:cs="宋体"/>
          <w:color w:val="000000"/>
          <w:kern w:val="0"/>
          <w:sz w:val="32"/>
          <w:szCs w:val="32"/>
        </w:rPr>
        <w:t>办理行政许可事项14534件，信息公开10件，医师、护士电子化注册率100%，机构类办件网办率95%，办件满意率100%。协助完成外商独资医院调研和政策推进工作</w:t>
      </w:r>
      <w:r>
        <w:rPr>
          <w:rFonts w:hint="eastAsia" w:ascii="仿宋" w:hAnsi="仿宋" w:eastAsia="仿宋" w:cs="宋体"/>
          <w:color w:val="000000"/>
          <w:kern w:val="0"/>
          <w:sz w:val="32"/>
          <w:szCs w:val="32"/>
        </w:rPr>
        <w:t>。</w:t>
      </w:r>
      <w:r>
        <w:rPr>
          <w:rFonts w:ascii="仿宋" w:hAnsi="仿宋" w:eastAsia="仿宋" w:cs="宋体"/>
          <w:color w:val="000000"/>
          <w:kern w:val="0"/>
          <w:sz w:val="32"/>
          <w:szCs w:val="32"/>
        </w:rPr>
        <w:t>严格做好食品安全企业标准备案审核工作，网上申请公示 222 件，归档备案175 件，接受电话咨询170余次。</w:t>
      </w:r>
    </w:p>
    <w:p w14:paraId="729CFB07">
      <w:pPr>
        <w:widowControl/>
        <w:spacing w:line="580" w:lineRule="exact"/>
        <w:ind w:firstLine="640" w:firstLineChars="200"/>
        <w:jc w:val="left"/>
        <w:rPr>
          <w:rFonts w:ascii="仿宋" w:hAnsi="仿宋" w:eastAsia="仿宋" w:cs="宋体"/>
          <w:color w:val="000000"/>
          <w:kern w:val="0"/>
          <w:sz w:val="32"/>
          <w:szCs w:val="32"/>
        </w:rPr>
      </w:pPr>
    </w:p>
    <w:p w14:paraId="6574B121">
      <w:pPr>
        <w:widowControl/>
        <w:numPr>
          <w:ilvl w:val="0"/>
          <w:numId w:val="4"/>
        </w:numPr>
        <w:spacing w:line="580" w:lineRule="exact"/>
        <w:ind w:firstLine="640" w:firstLineChars="200"/>
        <w:jc w:val="left"/>
        <w:rPr>
          <w:rFonts w:ascii="黑体" w:hAnsi="黑体" w:eastAsia="黑体" w:cs="宋体"/>
          <w:color w:val="000000"/>
          <w:kern w:val="0"/>
          <w:sz w:val="32"/>
          <w:szCs w:val="32"/>
        </w:rPr>
      </w:pPr>
      <w:r>
        <w:rPr>
          <w:rFonts w:hint="eastAsia" w:ascii="黑体" w:hAnsi="黑体" w:eastAsia="黑体" w:cs="宋体"/>
          <w:color w:val="000000"/>
          <w:kern w:val="0"/>
          <w:sz w:val="32"/>
          <w:szCs w:val="32"/>
        </w:rPr>
        <w:t>存在问题及原因分析</w:t>
      </w:r>
    </w:p>
    <w:p w14:paraId="2C99E5B5">
      <w:pPr>
        <w:widowControl/>
        <w:spacing w:line="580" w:lineRule="exact"/>
        <w:ind w:firstLine="643" w:firstLineChars="200"/>
        <w:jc w:val="left"/>
        <w:rPr>
          <w:rFonts w:ascii="仿宋" w:hAnsi="仿宋" w:eastAsia="仿宋" w:cs="宋体"/>
          <w:b/>
          <w:bCs/>
          <w:color w:val="000000"/>
          <w:kern w:val="0"/>
          <w:sz w:val="32"/>
          <w:szCs w:val="32"/>
        </w:rPr>
      </w:pPr>
      <w:r>
        <w:rPr>
          <w:rFonts w:hint="eastAsia" w:ascii="仿宋" w:hAnsi="仿宋" w:eastAsia="仿宋" w:cs="宋体"/>
          <w:b/>
          <w:bCs/>
          <w:color w:val="000000"/>
          <w:kern w:val="0"/>
          <w:sz w:val="32"/>
          <w:szCs w:val="32"/>
        </w:rPr>
        <w:t xml:space="preserve">（一）年度绩效目标有待细化 </w:t>
      </w:r>
    </w:p>
    <w:p w14:paraId="2F1666DE">
      <w:pPr>
        <w:widowControl/>
        <w:spacing w:line="580" w:lineRule="exact"/>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部门中长期阶段性目标较为笼统，不够明确，缺少工作内容、时间进度等要点，未能与部门年度任务相对应。2024年度绩效目标设置不够精细，绩效考核评价依据不够完善，易导致日后的绩效考核评价存在主观性和不确定性。</w:t>
      </w:r>
    </w:p>
    <w:p w14:paraId="4FD622AF">
      <w:pPr>
        <w:widowControl/>
        <w:spacing w:line="580" w:lineRule="exact"/>
        <w:ind w:firstLine="643" w:firstLineChars="200"/>
        <w:jc w:val="left"/>
        <w:rPr>
          <w:rFonts w:ascii="仿宋" w:hAnsi="仿宋" w:eastAsia="仿宋" w:cs="宋体"/>
          <w:b/>
          <w:bCs/>
          <w:color w:val="000000"/>
          <w:kern w:val="0"/>
          <w:sz w:val="32"/>
          <w:szCs w:val="32"/>
        </w:rPr>
      </w:pPr>
      <w:r>
        <w:rPr>
          <w:rFonts w:hint="eastAsia" w:ascii="仿宋" w:hAnsi="仿宋" w:eastAsia="仿宋" w:cs="宋体"/>
          <w:b/>
          <w:bCs/>
          <w:color w:val="000000"/>
          <w:kern w:val="0"/>
          <w:sz w:val="32"/>
          <w:szCs w:val="32"/>
        </w:rPr>
        <w:t xml:space="preserve">（二）项目资料信息化有待优化 </w:t>
      </w:r>
    </w:p>
    <w:p w14:paraId="63F6B41A">
      <w:pPr>
        <w:widowControl/>
        <w:spacing w:line="580" w:lineRule="exact"/>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项目支出实施涉及多部门，项目相关资料信息化共享程度不够，给项目资料的统一归档、日常调取造成不便，不利于部门整体统筹管理。</w:t>
      </w:r>
    </w:p>
    <w:p w14:paraId="24733F95">
      <w:pPr>
        <w:widowControl/>
        <w:spacing w:line="580" w:lineRule="exact"/>
        <w:ind w:firstLine="643" w:firstLineChars="200"/>
        <w:jc w:val="left"/>
        <w:rPr>
          <w:rFonts w:ascii="仿宋" w:hAnsi="仿宋" w:eastAsia="仿宋" w:cs="宋体"/>
          <w:b/>
          <w:bCs/>
          <w:color w:val="000000"/>
          <w:kern w:val="0"/>
          <w:sz w:val="32"/>
          <w:szCs w:val="32"/>
        </w:rPr>
      </w:pPr>
      <w:r>
        <w:rPr>
          <w:rFonts w:hint="eastAsia" w:ascii="仿宋" w:hAnsi="仿宋" w:eastAsia="仿宋" w:cs="宋体"/>
          <w:b/>
          <w:bCs/>
          <w:color w:val="000000"/>
          <w:kern w:val="0"/>
          <w:sz w:val="32"/>
          <w:szCs w:val="32"/>
        </w:rPr>
        <w:t>（三）管理制度有待完善</w:t>
      </w:r>
    </w:p>
    <w:p w14:paraId="4881C4BA">
      <w:pPr>
        <w:widowControl/>
        <w:spacing w:line="580" w:lineRule="exact"/>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一是部门制度建设体系不够健全，如业务层面内部控制无建设项目控制流程图和合同业务控制流程图；二是政府采购管理制度不健全，散见于财务管理制度、预算业务内部控制汇编资料中，未单独建立该项制度。</w:t>
      </w:r>
    </w:p>
    <w:p w14:paraId="1D7665E8">
      <w:pPr>
        <w:widowControl/>
        <w:spacing w:line="580" w:lineRule="exact"/>
        <w:ind w:firstLine="643" w:firstLineChars="200"/>
        <w:jc w:val="left"/>
        <w:rPr>
          <w:rFonts w:ascii="仿宋" w:hAnsi="仿宋" w:eastAsia="仿宋" w:cs="宋体"/>
          <w:b/>
          <w:bCs/>
          <w:color w:val="000000"/>
          <w:kern w:val="0"/>
          <w:sz w:val="32"/>
          <w:szCs w:val="32"/>
        </w:rPr>
      </w:pPr>
      <w:r>
        <w:rPr>
          <w:rFonts w:hint="eastAsia" w:ascii="仿宋" w:hAnsi="仿宋" w:eastAsia="仿宋" w:cs="宋体"/>
          <w:b/>
          <w:bCs/>
          <w:color w:val="000000"/>
          <w:kern w:val="0"/>
          <w:sz w:val="32"/>
          <w:szCs w:val="32"/>
        </w:rPr>
        <w:t>（四）个别项目管理有待加强</w:t>
      </w:r>
    </w:p>
    <w:p w14:paraId="176A1E61">
      <w:pPr>
        <w:widowControl/>
        <w:spacing w:line="580" w:lineRule="exact"/>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个别专项资金执行率较低，个别项目支出未制定分配标准，部分资金使用效益有待提高，项目管理的科学性、有效性需要提升。</w:t>
      </w:r>
    </w:p>
    <w:p w14:paraId="36C39BE7">
      <w:pPr>
        <w:spacing w:line="580" w:lineRule="exact"/>
        <w:ind w:firstLine="640" w:firstLineChars="200"/>
        <w:rPr>
          <w:rFonts w:ascii="黑体" w:hAnsi="黑体" w:eastAsia="黑体" w:cs="宋体"/>
          <w:color w:val="000000"/>
          <w:kern w:val="0"/>
          <w:sz w:val="32"/>
          <w:szCs w:val="32"/>
        </w:rPr>
      </w:pPr>
      <w:r>
        <w:rPr>
          <w:rFonts w:hint="eastAsia" w:ascii="黑体" w:hAnsi="黑体" w:eastAsia="黑体" w:cs="宋体"/>
          <w:color w:val="000000"/>
          <w:kern w:val="0"/>
          <w:sz w:val="32"/>
          <w:szCs w:val="32"/>
        </w:rPr>
        <w:t>五、评价工作开展情况及其他需说明的情况</w:t>
      </w:r>
    </w:p>
    <w:p w14:paraId="38ECEFCD">
      <w:pPr>
        <w:widowControl/>
        <w:spacing w:line="580" w:lineRule="exact"/>
        <w:ind w:firstLine="643" w:firstLineChars="200"/>
        <w:jc w:val="left"/>
        <w:rPr>
          <w:rFonts w:ascii="仿宋" w:hAnsi="仿宋" w:eastAsia="仿宋" w:cs="宋体"/>
          <w:b/>
          <w:bCs/>
          <w:color w:val="000000"/>
          <w:kern w:val="0"/>
          <w:sz w:val="32"/>
          <w:szCs w:val="32"/>
        </w:rPr>
      </w:pPr>
      <w:r>
        <w:rPr>
          <w:rFonts w:hint="eastAsia" w:ascii="仿宋" w:hAnsi="仿宋" w:eastAsia="仿宋" w:cs="宋体"/>
          <w:b/>
          <w:bCs/>
          <w:color w:val="000000"/>
          <w:kern w:val="0"/>
          <w:sz w:val="32"/>
          <w:szCs w:val="32"/>
        </w:rPr>
        <w:t>（一）评价目的</w:t>
      </w:r>
    </w:p>
    <w:p w14:paraId="1C16F92B">
      <w:pPr>
        <w:spacing w:line="580" w:lineRule="exact"/>
        <w:ind w:firstLine="600" w:firstLineChars="200"/>
        <w:rPr>
          <w:rFonts w:ascii="仿宋" w:hAnsi="仿宋" w:eastAsia="仿宋" w:cs="仿宋"/>
          <w:sz w:val="30"/>
          <w:szCs w:val="30"/>
        </w:rPr>
      </w:pPr>
      <w:r>
        <w:rPr>
          <w:rFonts w:hint="eastAsia" w:ascii="仿宋" w:hAnsi="仿宋" w:eastAsia="仿宋" w:cs="仿宋"/>
          <w:sz w:val="30"/>
          <w:szCs w:val="30"/>
        </w:rPr>
        <w:t>部门整体绩效评价重点围绕部门工作职责，统筹考虑资产和业务活动，以预算资金管理为主线，从部门的管理效率、运行成本、社会效应、履职效能、服务对象满意度和可持续发展能力等方面，评价衡量部门整体及核心业务实施的最终成效，进而推动提高部门整体绩效水平。</w:t>
      </w:r>
    </w:p>
    <w:p w14:paraId="4D2887B4">
      <w:pPr>
        <w:widowControl/>
        <w:spacing w:line="580" w:lineRule="exact"/>
        <w:ind w:firstLine="643" w:firstLineChars="200"/>
        <w:jc w:val="left"/>
        <w:rPr>
          <w:rFonts w:ascii="仿宋" w:hAnsi="仿宋" w:eastAsia="仿宋" w:cs="宋体"/>
          <w:b/>
          <w:bCs/>
          <w:color w:val="000000"/>
          <w:kern w:val="0"/>
          <w:sz w:val="32"/>
          <w:szCs w:val="32"/>
        </w:rPr>
      </w:pPr>
      <w:r>
        <w:rPr>
          <w:rFonts w:hint="eastAsia" w:ascii="仿宋" w:hAnsi="仿宋" w:eastAsia="仿宋" w:cs="宋体"/>
          <w:b/>
          <w:bCs/>
          <w:color w:val="000000"/>
          <w:kern w:val="0"/>
          <w:sz w:val="32"/>
          <w:szCs w:val="32"/>
        </w:rPr>
        <w:t>（二）评价依据</w:t>
      </w:r>
    </w:p>
    <w:p w14:paraId="0000A19B">
      <w:pPr>
        <w:spacing w:line="580" w:lineRule="exact"/>
        <w:ind w:firstLine="600" w:firstLineChars="200"/>
        <w:rPr>
          <w:rFonts w:ascii="仿宋" w:hAnsi="仿宋" w:eastAsia="仿宋" w:cs="仿宋"/>
          <w:sz w:val="30"/>
          <w:szCs w:val="30"/>
        </w:rPr>
      </w:pPr>
      <w:r>
        <w:rPr>
          <w:rFonts w:hint="eastAsia" w:ascii="仿宋" w:hAnsi="仿宋" w:eastAsia="仿宋" w:cs="仿宋"/>
          <w:sz w:val="30"/>
          <w:szCs w:val="30"/>
        </w:rPr>
        <w:t xml:space="preserve">1.财政部绩效管理相关政策文件 </w:t>
      </w:r>
    </w:p>
    <w:p w14:paraId="365BD0A0">
      <w:pPr>
        <w:spacing w:line="580" w:lineRule="exact"/>
        <w:ind w:firstLine="600" w:firstLineChars="200"/>
        <w:rPr>
          <w:rFonts w:ascii="仿宋" w:hAnsi="仿宋" w:eastAsia="仿宋" w:cs="仿宋"/>
          <w:sz w:val="30"/>
          <w:szCs w:val="30"/>
        </w:rPr>
      </w:pPr>
      <w:r>
        <w:rPr>
          <w:rFonts w:hint="eastAsia" w:ascii="仿宋" w:hAnsi="仿宋" w:eastAsia="仿宋" w:cs="仿宋"/>
          <w:sz w:val="30"/>
          <w:szCs w:val="30"/>
        </w:rPr>
        <w:t>（1）关于贯彻落实《中共中央、国务院关于全面实施预算绩效管理的意见》的通知（财预〔2018〕167 号）；</w:t>
      </w:r>
    </w:p>
    <w:p w14:paraId="4D85D5F1">
      <w:pPr>
        <w:spacing w:line="580" w:lineRule="exact"/>
        <w:ind w:firstLine="600" w:firstLineChars="200"/>
        <w:rPr>
          <w:rFonts w:ascii="仿宋" w:hAnsi="仿宋" w:eastAsia="仿宋" w:cs="仿宋"/>
          <w:sz w:val="30"/>
          <w:szCs w:val="30"/>
        </w:rPr>
      </w:pPr>
      <w:r>
        <w:rPr>
          <w:rFonts w:hint="eastAsia" w:ascii="仿宋" w:hAnsi="仿宋" w:eastAsia="仿宋" w:cs="仿宋"/>
          <w:sz w:val="30"/>
          <w:szCs w:val="30"/>
        </w:rPr>
        <w:t>（2）《关于印发&lt;项目支出绩效评价管理办法&gt;的通知》（财预〔2020〕10 号）等。</w:t>
      </w:r>
    </w:p>
    <w:p w14:paraId="1AEBC734">
      <w:pPr>
        <w:spacing w:line="580" w:lineRule="exact"/>
        <w:ind w:firstLine="600" w:firstLineChars="200"/>
        <w:rPr>
          <w:rFonts w:ascii="仿宋" w:hAnsi="仿宋" w:eastAsia="仿宋" w:cs="仿宋"/>
          <w:sz w:val="30"/>
          <w:szCs w:val="30"/>
        </w:rPr>
      </w:pPr>
      <w:r>
        <w:rPr>
          <w:rFonts w:hint="eastAsia" w:ascii="仿宋" w:hAnsi="仿宋" w:eastAsia="仿宋" w:cs="仿宋"/>
          <w:sz w:val="30"/>
          <w:szCs w:val="30"/>
        </w:rPr>
        <w:t xml:space="preserve">2.省市绩效管理相关政策文件 </w:t>
      </w:r>
    </w:p>
    <w:p w14:paraId="53F1BCDD">
      <w:pPr>
        <w:spacing w:line="580" w:lineRule="exact"/>
        <w:ind w:firstLine="600" w:firstLineChars="200"/>
        <w:rPr>
          <w:rFonts w:ascii="仿宋" w:hAnsi="仿宋" w:eastAsia="仿宋" w:cs="仿宋"/>
          <w:sz w:val="30"/>
          <w:szCs w:val="30"/>
        </w:rPr>
      </w:pPr>
      <w:r>
        <w:rPr>
          <w:rFonts w:hint="eastAsia" w:ascii="仿宋" w:hAnsi="仿宋" w:eastAsia="仿宋" w:cs="仿宋"/>
          <w:sz w:val="30"/>
          <w:szCs w:val="30"/>
        </w:rPr>
        <w:t>（1）《中共江苏省委江苏省人民政府关于全面实施绩效管理的实施意见》（苏发〔2019〕6 号）；</w:t>
      </w:r>
    </w:p>
    <w:p w14:paraId="698804CF">
      <w:pPr>
        <w:spacing w:line="580" w:lineRule="exact"/>
        <w:ind w:firstLine="600" w:firstLineChars="200"/>
        <w:rPr>
          <w:rFonts w:ascii="仿宋" w:hAnsi="仿宋" w:eastAsia="仿宋" w:cs="仿宋"/>
          <w:sz w:val="30"/>
          <w:szCs w:val="30"/>
        </w:rPr>
      </w:pPr>
      <w:r>
        <w:rPr>
          <w:rFonts w:hint="eastAsia" w:ascii="仿宋" w:hAnsi="仿宋" w:eastAsia="仿宋" w:cs="仿宋"/>
          <w:sz w:val="30"/>
          <w:szCs w:val="30"/>
        </w:rPr>
        <w:t>（2）《关于印发&lt;南京市市级财政预算绩效评价操作规程（试行）&gt;的通知》（宁财绩〔2020〕260 号）。</w:t>
      </w:r>
    </w:p>
    <w:p w14:paraId="7DD778CE">
      <w:pPr>
        <w:spacing w:line="580" w:lineRule="exact"/>
        <w:ind w:firstLine="600" w:firstLineChars="200"/>
        <w:rPr>
          <w:rFonts w:ascii="仿宋" w:hAnsi="仿宋" w:eastAsia="仿宋" w:cs="仿宋"/>
          <w:sz w:val="30"/>
          <w:szCs w:val="30"/>
        </w:rPr>
      </w:pPr>
      <w:r>
        <w:rPr>
          <w:rFonts w:hint="eastAsia" w:ascii="仿宋" w:hAnsi="仿宋" w:eastAsia="仿宋" w:cs="仿宋"/>
          <w:sz w:val="30"/>
          <w:szCs w:val="30"/>
        </w:rPr>
        <w:t>本次自评价包括调研沟通、收集评价资料、确定指标体系、明确绩效评价方法、形成评价方案、综合考评、对照体系打分、评价分析等八个步骤。</w:t>
      </w:r>
    </w:p>
    <w:p w14:paraId="772CFE22">
      <w:pPr>
        <w:spacing w:line="580" w:lineRule="exact"/>
        <w:ind w:firstLine="600" w:firstLineChars="200"/>
        <w:rPr>
          <w:rFonts w:ascii="仿宋" w:hAnsi="仿宋" w:eastAsia="仿宋" w:cs="仿宋"/>
          <w:sz w:val="30"/>
          <w:szCs w:val="30"/>
        </w:rPr>
      </w:pPr>
      <w:r>
        <w:rPr>
          <w:rFonts w:hint="eastAsia" w:ascii="仿宋" w:hAnsi="仿宋" w:eastAsia="仿宋" w:cs="仿宋"/>
          <w:sz w:val="30"/>
          <w:szCs w:val="30"/>
        </w:rPr>
        <w:t>指标体系优先选取最具代表性、最能直接反映履职绩效的核心指标，精简实用。指标的权重根据各项指标在评价体系中的重要程度确定，突出结果导向，履职绩效类、可持续发展指标。通过对照指标体系组织综合考评，逐条分析打分并形成初步结论。绩效评价结果实施百分制和四级分类：90（含）-100分为优、80（含）-90分为良、60（含）-80分为中、60分以下为差。</w:t>
      </w:r>
    </w:p>
    <w:p w14:paraId="4821F01B">
      <w:pPr>
        <w:keepNext/>
        <w:keepLines/>
        <w:autoSpaceDE w:val="0"/>
        <w:autoSpaceDN w:val="0"/>
        <w:spacing w:line="560" w:lineRule="exact"/>
        <w:ind w:firstLine="640" w:firstLineChars="200"/>
        <w:jc w:val="left"/>
        <w:outlineLvl w:val="0"/>
        <w:rPr>
          <w:rFonts w:ascii="黑体" w:hAnsi="黑体" w:eastAsia="黑体" w:cs="仿宋"/>
          <w:bCs/>
          <w:kern w:val="44"/>
          <w:sz w:val="32"/>
          <w:szCs w:val="32"/>
          <w:lang w:val="zh-CN" w:bidi="zh-CN"/>
        </w:rPr>
      </w:pPr>
      <w:r>
        <w:rPr>
          <w:rFonts w:hint="eastAsia" w:ascii="黑体" w:hAnsi="黑体" w:eastAsia="黑体" w:cs="仿宋"/>
          <w:bCs/>
          <w:kern w:val="44"/>
          <w:sz w:val="32"/>
          <w:szCs w:val="32"/>
          <w:lang w:val="zh-CN" w:bidi="zh-CN"/>
        </w:rPr>
        <w:t>六、相关建议</w:t>
      </w:r>
    </w:p>
    <w:p w14:paraId="0070CE83">
      <w:pPr>
        <w:keepNext/>
        <w:keepLines/>
        <w:autoSpaceDE w:val="0"/>
        <w:autoSpaceDN w:val="0"/>
        <w:spacing w:line="560" w:lineRule="exact"/>
        <w:ind w:firstLine="643" w:firstLineChars="200"/>
        <w:jc w:val="left"/>
        <w:outlineLvl w:val="0"/>
        <w:rPr>
          <w:rFonts w:ascii="黑体" w:hAnsi="黑体" w:eastAsia="黑体" w:cs="仿宋"/>
          <w:bCs/>
          <w:kern w:val="44"/>
          <w:sz w:val="32"/>
          <w:szCs w:val="32"/>
          <w:lang w:val="zh-CN" w:bidi="zh-CN"/>
        </w:rPr>
      </w:pPr>
      <w:r>
        <w:rPr>
          <w:rFonts w:hint="eastAsia" w:ascii="仿宋" w:hAnsi="仿宋" w:eastAsia="仿宋" w:cs="宋体"/>
          <w:b/>
          <w:bCs/>
          <w:color w:val="000000"/>
          <w:kern w:val="0"/>
          <w:sz w:val="32"/>
          <w:szCs w:val="32"/>
        </w:rPr>
        <w:t>（一）进一步</w:t>
      </w:r>
      <w:r>
        <w:rPr>
          <w:rFonts w:ascii="仿宋" w:hAnsi="仿宋" w:eastAsia="仿宋" w:cs="宋体"/>
          <w:b/>
          <w:bCs/>
          <w:color w:val="000000"/>
          <w:kern w:val="0"/>
          <w:sz w:val="32"/>
          <w:szCs w:val="32"/>
        </w:rPr>
        <w:t>细化年度绩效目标</w:t>
      </w:r>
    </w:p>
    <w:p w14:paraId="5D108BE1">
      <w:pPr>
        <w:autoSpaceDE w:val="0"/>
        <w:autoSpaceDN w:val="0"/>
        <w:spacing w:line="560" w:lineRule="exact"/>
        <w:ind w:firstLine="640" w:firstLineChars="200"/>
        <w:jc w:val="left"/>
        <w:rPr>
          <w:rFonts w:ascii="仿宋" w:hAnsi="仿宋" w:eastAsia="仿宋" w:cs="Times New Roman"/>
          <w:sz w:val="32"/>
          <w:szCs w:val="32"/>
          <w:lang w:val="zh-CN" w:bidi="zh-CN"/>
        </w:rPr>
      </w:pPr>
      <w:r>
        <w:rPr>
          <w:rFonts w:hint="eastAsia" w:ascii="仿宋" w:hAnsi="仿宋" w:eastAsia="仿宋" w:cs="Times New Roman"/>
          <w:sz w:val="32"/>
          <w:szCs w:val="32"/>
          <w:lang w:val="zh-CN" w:bidi="zh-CN"/>
        </w:rPr>
        <w:t>一是在中长期阶段性目标中明确总体目标、工作内容、时间进度等内容。二是合理设置绩效目标。应结合年度工作计划和中长期实施规划，进一步细化分解为具体的工作任务，通过清晰、量化和可衡量的指标值予以体现，并与部门年度的任务数或计划数相对应，制定出更加明确具体的、定性和定量相结合的、可衡量考核的年度绩效目标，提高绩效管理的有效性。</w:t>
      </w:r>
    </w:p>
    <w:p w14:paraId="5AA6158E">
      <w:pPr>
        <w:keepNext/>
        <w:keepLines/>
        <w:autoSpaceDE w:val="0"/>
        <w:autoSpaceDN w:val="0"/>
        <w:spacing w:line="560" w:lineRule="exact"/>
        <w:ind w:firstLine="755" w:firstLineChars="235"/>
        <w:jc w:val="left"/>
        <w:outlineLvl w:val="1"/>
        <w:rPr>
          <w:rFonts w:ascii="仿宋" w:hAnsi="仿宋" w:eastAsia="仿宋" w:cs="宋体"/>
          <w:b/>
          <w:bCs/>
          <w:color w:val="000000"/>
          <w:kern w:val="0"/>
          <w:sz w:val="32"/>
          <w:szCs w:val="32"/>
        </w:rPr>
      </w:pPr>
      <w:r>
        <w:rPr>
          <w:rFonts w:hint="eastAsia" w:ascii="仿宋" w:hAnsi="仿宋" w:eastAsia="仿宋" w:cs="宋体"/>
          <w:b/>
          <w:bCs/>
          <w:color w:val="000000"/>
          <w:kern w:val="0"/>
          <w:sz w:val="32"/>
          <w:szCs w:val="32"/>
        </w:rPr>
        <w:t>（二）进一步</w:t>
      </w:r>
      <w:r>
        <w:rPr>
          <w:rFonts w:ascii="仿宋" w:hAnsi="仿宋" w:eastAsia="仿宋" w:cs="宋体"/>
          <w:b/>
          <w:bCs/>
          <w:color w:val="000000"/>
          <w:kern w:val="0"/>
          <w:sz w:val="32"/>
          <w:szCs w:val="32"/>
        </w:rPr>
        <w:t>健全内控制度体系</w:t>
      </w:r>
    </w:p>
    <w:p w14:paraId="121D53A7">
      <w:pPr>
        <w:autoSpaceDE w:val="0"/>
        <w:autoSpaceDN w:val="0"/>
        <w:spacing w:line="560" w:lineRule="exact"/>
        <w:ind w:firstLine="640" w:firstLineChars="200"/>
        <w:jc w:val="left"/>
        <w:rPr>
          <w:rFonts w:ascii="仿宋" w:hAnsi="仿宋" w:eastAsia="仿宋" w:cs="Times New Roman"/>
          <w:sz w:val="32"/>
          <w:szCs w:val="32"/>
          <w:lang w:val="zh-CN" w:bidi="zh-CN"/>
        </w:rPr>
      </w:pPr>
      <w:r>
        <w:rPr>
          <w:rFonts w:hint="eastAsia" w:ascii="仿宋" w:hAnsi="仿宋" w:eastAsia="仿宋" w:cs="Times New Roman"/>
          <w:sz w:val="32"/>
          <w:szCs w:val="32"/>
          <w:lang w:val="zh-CN" w:bidi="zh-CN"/>
        </w:rPr>
        <w:t>结合绩效评价结果，及时整改存在的问题，制定并完善政府采购制度、项目管理制度和合同管理制度，进一步健全内部控制管理体系建设，保证部门日常管理环节依据充分，管理工作有章可循，提高管理水平。</w:t>
      </w:r>
    </w:p>
    <w:p w14:paraId="700B56F8">
      <w:pPr>
        <w:autoSpaceDE w:val="0"/>
        <w:autoSpaceDN w:val="0"/>
        <w:spacing w:line="560" w:lineRule="exact"/>
        <w:ind w:firstLine="640" w:firstLineChars="200"/>
        <w:jc w:val="left"/>
        <w:rPr>
          <w:rFonts w:ascii="仿宋" w:hAnsi="仿宋" w:eastAsia="仿宋" w:cs="Times New Roman"/>
          <w:sz w:val="32"/>
          <w:szCs w:val="32"/>
          <w:lang w:val="zh-CN" w:bidi="zh-CN"/>
        </w:rPr>
      </w:pPr>
    </w:p>
    <w:p w14:paraId="13C3D87B">
      <w:pPr>
        <w:spacing w:line="580" w:lineRule="exact"/>
        <w:ind w:firstLine="600" w:firstLineChars="200"/>
        <w:rPr>
          <w:rFonts w:ascii="仿宋" w:hAnsi="仿宋" w:eastAsia="仿宋" w:cs="仿宋"/>
          <w:sz w:val="30"/>
          <w:szCs w:val="30"/>
        </w:rPr>
      </w:pPr>
      <w:r>
        <w:rPr>
          <w:rFonts w:hint="eastAsia" w:ascii="仿宋" w:hAnsi="仿宋" w:eastAsia="仿宋" w:cs="仿宋"/>
          <w:sz w:val="30"/>
          <w:szCs w:val="30"/>
        </w:rPr>
        <w:t>附件：南京市卫生监督所2024年度部门整体绩效评价指标体系</w:t>
      </w:r>
    </w:p>
    <w:p w14:paraId="31DC8FA7">
      <w:pPr>
        <w:spacing w:line="580" w:lineRule="exact"/>
        <w:rPr>
          <w:rFonts w:ascii="仿宋" w:hAnsi="仿宋" w:eastAsia="仿宋"/>
          <w:sz w:val="30"/>
          <w:szCs w:val="30"/>
        </w:rPr>
      </w:pPr>
    </w:p>
    <w:p w14:paraId="14918043">
      <w:pPr>
        <w:spacing w:line="580" w:lineRule="exact"/>
        <w:rPr>
          <w:rFonts w:ascii="仿宋" w:hAnsi="仿宋" w:eastAsia="仿宋"/>
          <w:sz w:val="30"/>
          <w:szCs w:val="30"/>
        </w:rPr>
      </w:pPr>
      <w:r>
        <w:rPr>
          <w:rFonts w:hint="eastAsia" w:ascii="仿宋" w:hAnsi="仿宋" w:eastAsia="仿宋"/>
          <w:sz w:val="30"/>
          <w:szCs w:val="30"/>
        </w:rPr>
        <w:t xml:space="preserve">                                  南京市卫生监督所</w:t>
      </w:r>
    </w:p>
    <w:p w14:paraId="7504A9E3">
      <w:pPr>
        <w:spacing w:line="580" w:lineRule="exact"/>
        <w:rPr>
          <w:rFonts w:ascii="仿宋" w:hAnsi="仿宋" w:eastAsia="仿宋"/>
          <w:sz w:val="30"/>
          <w:szCs w:val="30"/>
        </w:rPr>
      </w:pPr>
      <w:r>
        <w:rPr>
          <w:rFonts w:hint="eastAsia" w:ascii="仿宋" w:hAnsi="仿宋" w:eastAsia="仿宋"/>
          <w:sz w:val="30"/>
          <w:szCs w:val="30"/>
        </w:rPr>
        <w:t xml:space="preserve">                                   2025年6月24日</w:t>
      </w:r>
    </w:p>
    <w:p w14:paraId="31B446CB">
      <w:pPr>
        <w:spacing w:line="580" w:lineRule="exact"/>
        <w:ind w:firstLine="5400" w:firstLineChars="1800"/>
        <w:rPr>
          <w:rFonts w:ascii="仿宋" w:hAnsi="仿宋" w:eastAsia="仿宋"/>
          <w:sz w:val="30"/>
          <w:szCs w:val="30"/>
        </w:rPr>
      </w:pPr>
    </w:p>
    <w:p w14:paraId="3B1DE7E2">
      <w:pPr>
        <w:spacing w:line="580" w:lineRule="exact"/>
        <w:rPr>
          <w:rFonts w:ascii="仿宋" w:hAnsi="仿宋" w:eastAsia="仿宋"/>
          <w:sz w:val="30"/>
          <w:szCs w:val="30"/>
        </w:rPr>
      </w:pPr>
    </w:p>
    <w:p w14:paraId="5E12E976">
      <w:pPr>
        <w:spacing w:line="580" w:lineRule="exact"/>
        <w:rPr>
          <w:rFonts w:ascii="仿宋" w:hAnsi="仿宋" w:eastAsia="仿宋"/>
          <w:sz w:val="30"/>
          <w:szCs w:val="30"/>
        </w:rPr>
        <w:sectPr>
          <w:pgSz w:w="11906" w:h="16838"/>
          <w:pgMar w:top="1440" w:right="1800" w:bottom="1440" w:left="1800" w:header="851" w:footer="992" w:gutter="0"/>
          <w:cols w:space="425" w:num="1"/>
          <w:docGrid w:type="lines" w:linePitch="312" w:charSpace="0"/>
        </w:sectPr>
      </w:pPr>
    </w:p>
    <w:p w14:paraId="00AAC46B">
      <w:pPr>
        <w:spacing w:line="580" w:lineRule="exact"/>
        <w:ind w:left="420" w:leftChars="200"/>
        <w:rPr>
          <w:rFonts w:ascii="仿宋" w:hAnsi="仿宋" w:eastAsia="仿宋"/>
          <w:b/>
          <w:bCs/>
          <w:sz w:val="30"/>
          <w:szCs w:val="30"/>
        </w:rPr>
      </w:pPr>
      <w:r>
        <w:rPr>
          <w:rFonts w:hint="eastAsia" w:ascii="仿宋" w:hAnsi="仿宋" w:eastAsia="仿宋"/>
          <w:b/>
          <w:bCs/>
          <w:sz w:val="30"/>
          <w:szCs w:val="30"/>
        </w:rPr>
        <w:t>附件</w:t>
      </w:r>
    </w:p>
    <w:p w14:paraId="6C66DC4A">
      <w:pPr>
        <w:spacing w:before="298" w:line="224" w:lineRule="auto"/>
        <w:jc w:val="center"/>
        <w:rPr>
          <w:rFonts w:ascii="宋体" w:hAnsi="宋体" w:eastAsia="宋体" w:cs="宋体"/>
          <w:spacing w:val="10"/>
          <w:sz w:val="44"/>
          <w:szCs w:val="44"/>
        </w:rPr>
      </w:pPr>
      <w:r>
        <w:rPr>
          <w:rFonts w:ascii="宋体" w:hAnsi="宋体" w:eastAsia="宋体" w:cs="宋体"/>
          <w:spacing w:val="10"/>
          <w:sz w:val="44"/>
          <w:szCs w:val="44"/>
        </w:rPr>
        <w:t>南京市卫生</w:t>
      </w:r>
      <w:r>
        <w:rPr>
          <w:rFonts w:hint="eastAsia" w:ascii="宋体" w:hAnsi="宋体" w:eastAsia="宋体" w:cs="宋体"/>
          <w:spacing w:val="10"/>
          <w:sz w:val="44"/>
          <w:szCs w:val="44"/>
        </w:rPr>
        <w:t>监督所</w:t>
      </w:r>
      <w:r>
        <w:rPr>
          <w:rFonts w:ascii="宋体" w:hAnsi="宋体" w:eastAsia="宋体" w:cs="宋体"/>
          <w:spacing w:val="10"/>
          <w:sz w:val="44"/>
          <w:szCs w:val="44"/>
        </w:rPr>
        <w:t>202</w:t>
      </w:r>
      <w:r>
        <w:rPr>
          <w:rFonts w:hint="eastAsia" w:ascii="宋体" w:hAnsi="宋体" w:eastAsia="宋体" w:cs="宋体"/>
          <w:spacing w:val="10"/>
          <w:sz w:val="44"/>
          <w:szCs w:val="44"/>
        </w:rPr>
        <w:t>4</w:t>
      </w:r>
      <w:r>
        <w:rPr>
          <w:rFonts w:ascii="宋体" w:hAnsi="宋体" w:eastAsia="宋体" w:cs="宋体"/>
          <w:spacing w:val="10"/>
          <w:sz w:val="44"/>
          <w:szCs w:val="44"/>
        </w:rPr>
        <w:t>年度部门整体</w:t>
      </w:r>
      <w:r>
        <w:rPr>
          <w:rFonts w:hint="eastAsia" w:ascii="宋体" w:hAnsi="宋体" w:eastAsia="宋体" w:cs="宋体"/>
          <w:spacing w:val="10"/>
          <w:sz w:val="44"/>
          <w:szCs w:val="44"/>
        </w:rPr>
        <w:t>绩效评价指标体系</w:t>
      </w:r>
    </w:p>
    <w:p w14:paraId="52AC2078">
      <w:pPr>
        <w:spacing w:before="298" w:line="224" w:lineRule="auto"/>
        <w:ind w:left="2233"/>
        <w:rPr>
          <w:rFonts w:ascii="宋体" w:hAnsi="宋体" w:eastAsia="宋体" w:cs="宋体"/>
          <w:spacing w:val="10"/>
          <w:sz w:val="35"/>
          <w:szCs w:val="35"/>
        </w:rPr>
      </w:pPr>
    </w:p>
    <w:tbl>
      <w:tblPr>
        <w:tblStyle w:val="10"/>
        <w:tblW w:w="1387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03"/>
        <w:gridCol w:w="1517"/>
        <w:gridCol w:w="1500"/>
        <w:gridCol w:w="1221"/>
        <w:gridCol w:w="2549"/>
        <w:gridCol w:w="3788"/>
        <w:gridCol w:w="796"/>
        <w:gridCol w:w="803"/>
      </w:tblGrid>
      <w:tr w14:paraId="03CF54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4720" w:type="dxa"/>
            <w:gridSpan w:val="3"/>
          </w:tcPr>
          <w:p w14:paraId="56D5A625">
            <w:pPr>
              <w:spacing w:before="59" w:line="229" w:lineRule="auto"/>
              <w:ind w:left="2176"/>
              <w:rPr>
                <w:rFonts w:ascii="黑体" w:hAnsi="黑体" w:eastAsia="黑体" w:cs="黑体"/>
                <w:sz w:val="19"/>
                <w:szCs w:val="19"/>
              </w:rPr>
            </w:pPr>
            <w:r>
              <w:rPr>
                <w:rFonts w:ascii="黑体" w:hAnsi="黑体" w:eastAsia="黑体" w:cs="黑体"/>
                <w:spacing w:val="7"/>
                <w:sz w:val="19"/>
                <w:szCs w:val="19"/>
              </w:rPr>
              <w:t>指</w:t>
            </w:r>
            <w:r>
              <w:rPr>
                <w:rFonts w:ascii="黑体" w:hAnsi="黑体" w:eastAsia="黑体" w:cs="黑体"/>
                <w:spacing w:val="6"/>
                <w:sz w:val="19"/>
                <w:szCs w:val="19"/>
              </w:rPr>
              <w:t>标</w:t>
            </w:r>
          </w:p>
        </w:tc>
        <w:tc>
          <w:tcPr>
            <w:tcW w:w="1221" w:type="dxa"/>
            <w:vMerge w:val="restart"/>
            <w:tcBorders>
              <w:bottom w:val="nil"/>
            </w:tcBorders>
          </w:tcPr>
          <w:p w14:paraId="50484F0E">
            <w:pPr>
              <w:spacing w:before="234" w:line="230" w:lineRule="auto"/>
              <w:ind w:left="313"/>
              <w:rPr>
                <w:rFonts w:ascii="黑体" w:hAnsi="黑体" w:eastAsia="黑体" w:cs="黑体"/>
                <w:sz w:val="19"/>
                <w:szCs w:val="19"/>
              </w:rPr>
            </w:pPr>
            <w:r>
              <w:rPr>
                <w:rFonts w:ascii="黑体" w:hAnsi="黑体" w:eastAsia="黑体" w:cs="黑体"/>
                <w:spacing w:val="9"/>
                <w:sz w:val="19"/>
                <w:szCs w:val="19"/>
              </w:rPr>
              <w:t>标</w:t>
            </w:r>
            <w:r>
              <w:rPr>
                <w:rFonts w:ascii="黑体" w:hAnsi="黑体" w:eastAsia="黑体" w:cs="黑体"/>
                <w:spacing w:val="8"/>
                <w:sz w:val="19"/>
                <w:szCs w:val="19"/>
              </w:rPr>
              <w:t>准值</w:t>
            </w:r>
          </w:p>
        </w:tc>
        <w:tc>
          <w:tcPr>
            <w:tcW w:w="2549" w:type="dxa"/>
            <w:vMerge w:val="restart"/>
            <w:tcBorders>
              <w:bottom w:val="nil"/>
            </w:tcBorders>
          </w:tcPr>
          <w:p w14:paraId="21E9A178">
            <w:pPr>
              <w:spacing w:before="235" w:line="228" w:lineRule="auto"/>
              <w:ind w:left="886"/>
              <w:rPr>
                <w:rFonts w:ascii="黑体" w:hAnsi="黑体" w:eastAsia="黑体" w:cs="黑体"/>
                <w:sz w:val="19"/>
                <w:szCs w:val="19"/>
              </w:rPr>
            </w:pPr>
            <w:r>
              <w:rPr>
                <w:rFonts w:ascii="黑体" w:hAnsi="黑体" w:eastAsia="黑体" w:cs="黑体"/>
                <w:spacing w:val="8"/>
                <w:sz w:val="19"/>
                <w:szCs w:val="19"/>
              </w:rPr>
              <w:t>指标解释</w:t>
            </w:r>
          </w:p>
        </w:tc>
        <w:tc>
          <w:tcPr>
            <w:tcW w:w="3788" w:type="dxa"/>
            <w:vMerge w:val="restart"/>
            <w:tcBorders>
              <w:bottom w:val="nil"/>
            </w:tcBorders>
          </w:tcPr>
          <w:p w14:paraId="7C1B9B4E">
            <w:pPr>
              <w:spacing w:before="234" w:line="228" w:lineRule="auto"/>
              <w:ind w:left="1510"/>
              <w:rPr>
                <w:rFonts w:ascii="黑体" w:hAnsi="黑体" w:eastAsia="黑体" w:cs="黑体"/>
                <w:sz w:val="19"/>
                <w:szCs w:val="19"/>
              </w:rPr>
            </w:pPr>
            <w:r>
              <w:rPr>
                <w:rFonts w:ascii="黑体" w:hAnsi="黑体" w:eastAsia="黑体" w:cs="黑体"/>
                <w:spacing w:val="8"/>
                <w:sz w:val="19"/>
                <w:szCs w:val="19"/>
              </w:rPr>
              <w:t>评价标准</w:t>
            </w:r>
          </w:p>
        </w:tc>
        <w:tc>
          <w:tcPr>
            <w:tcW w:w="796" w:type="dxa"/>
            <w:vMerge w:val="restart"/>
            <w:tcBorders>
              <w:bottom w:val="nil"/>
            </w:tcBorders>
          </w:tcPr>
          <w:p w14:paraId="2C8901FA">
            <w:pPr>
              <w:spacing w:before="234" w:line="230" w:lineRule="auto"/>
              <w:ind w:left="207"/>
              <w:rPr>
                <w:rFonts w:ascii="黑体" w:hAnsi="黑体" w:eastAsia="黑体" w:cs="黑体"/>
                <w:sz w:val="19"/>
                <w:szCs w:val="19"/>
              </w:rPr>
            </w:pPr>
            <w:r>
              <w:rPr>
                <w:rFonts w:ascii="黑体" w:hAnsi="黑体" w:eastAsia="黑体" w:cs="黑体"/>
                <w:spacing w:val="7"/>
                <w:sz w:val="19"/>
                <w:szCs w:val="19"/>
              </w:rPr>
              <w:t>权重</w:t>
            </w:r>
          </w:p>
        </w:tc>
        <w:tc>
          <w:tcPr>
            <w:tcW w:w="803" w:type="dxa"/>
            <w:vMerge w:val="restart"/>
            <w:tcBorders>
              <w:bottom w:val="nil"/>
            </w:tcBorders>
          </w:tcPr>
          <w:p w14:paraId="6FB8DF13">
            <w:pPr>
              <w:spacing w:before="235" w:line="228" w:lineRule="auto"/>
              <w:ind w:left="210"/>
              <w:rPr>
                <w:rFonts w:ascii="黑体" w:hAnsi="黑体" w:eastAsia="黑体" w:cs="黑体"/>
                <w:sz w:val="19"/>
                <w:szCs w:val="19"/>
              </w:rPr>
            </w:pPr>
            <w:r>
              <w:rPr>
                <w:rFonts w:ascii="黑体" w:hAnsi="黑体" w:eastAsia="黑体" w:cs="黑体"/>
                <w:spacing w:val="6"/>
                <w:sz w:val="19"/>
                <w:szCs w:val="19"/>
              </w:rPr>
              <w:t>得分</w:t>
            </w:r>
          </w:p>
        </w:tc>
      </w:tr>
      <w:tr w14:paraId="047574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3" w:hRule="atLeast"/>
        </w:trPr>
        <w:tc>
          <w:tcPr>
            <w:tcW w:w="1703" w:type="dxa"/>
          </w:tcPr>
          <w:p w14:paraId="37971F6A">
            <w:pPr>
              <w:spacing w:before="68" w:line="227" w:lineRule="auto"/>
              <w:ind w:left="464"/>
              <w:rPr>
                <w:rFonts w:ascii="黑体" w:hAnsi="黑体" w:eastAsia="黑体" w:cs="黑体"/>
                <w:sz w:val="19"/>
                <w:szCs w:val="19"/>
              </w:rPr>
            </w:pPr>
            <w:r>
              <w:rPr>
                <w:rFonts w:ascii="黑体" w:hAnsi="黑体" w:eastAsia="黑体" w:cs="黑体"/>
                <w:spacing w:val="7"/>
                <w:sz w:val="19"/>
                <w:szCs w:val="19"/>
              </w:rPr>
              <w:t>一级指标</w:t>
            </w:r>
          </w:p>
        </w:tc>
        <w:tc>
          <w:tcPr>
            <w:tcW w:w="1517" w:type="dxa"/>
          </w:tcPr>
          <w:p w14:paraId="6128A3AE">
            <w:pPr>
              <w:spacing w:before="68" w:line="227" w:lineRule="auto"/>
              <w:ind w:left="369"/>
              <w:rPr>
                <w:rFonts w:ascii="黑体" w:hAnsi="黑体" w:eastAsia="黑体" w:cs="黑体"/>
                <w:sz w:val="19"/>
                <w:szCs w:val="19"/>
              </w:rPr>
            </w:pPr>
            <w:r>
              <w:rPr>
                <w:rFonts w:ascii="黑体" w:hAnsi="黑体" w:eastAsia="黑体" w:cs="黑体"/>
                <w:spacing w:val="7"/>
                <w:sz w:val="19"/>
                <w:szCs w:val="19"/>
              </w:rPr>
              <w:t>二级指标</w:t>
            </w:r>
          </w:p>
        </w:tc>
        <w:tc>
          <w:tcPr>
            <w:tcW w:w="1500" w:type="dxa"/>
          </w:tcPr>
          <w:p w14:paraId="30F5DA4D">
            <w:pPr>
              <w:spacing w:before="68" w:line="227" w:lineRule="auto"/>
              <w:ind w:left="363"/>
              <w:rPr>
                <w:rFonts w:ascii="黑体" w:hAnsi="黑体" w:eastAsia="黑体" w:cs="黑体"/>
                <w:sz w:val="19"/>
                <w:szCs w:val="19"/>
              </w:rPr>
            </w:pPr>
            <w:r>
              <w:rPr>
                <w:rFonts w:ascii="黑体" w:hAnsi="黑体" w:eastAsia="黑体" w:cs="黑体"/>
                <w:spacing w:val="7"/>
                <w:sz w:val="19"/>
                <w:szCs w:val="19"/>
              </w:rPr>
              <w:t>三级指</w:t>
            </w:r>
            <w:r>
              <w:rPr>
                <w:rFonts w:ascii="黑体" w:hAnsi="黑体" w:eastAsia="黑体" w:cs="黑体"/>
                <w:spacing w:val="6"/>
                <w:sz w:val="19"/>
                <w:szCs w:val="19"/>
              </w:rPr>
              <w:t>标</w:t>
            </w:r>
          </w:p>
        </w:tc>
        <w:tc>
          <w:tcPr>
            <w:tcW w:w="1221" w:type="dxa"/>
            <w:vMerge w:val="continue"/>
            <w:tcBorders>
              <w:top w:val="nil"/>
            </w:tcBorders>
          </w:tcPr>
          <w:p w14:paraId="20E84ACF">
            <w:pPr>
              <w:rPr>
                <w:rFonts w:ascii="Arial"/>
              </w:rPr>
            </w:pPr>
          </w:p>
        </w:tc>
        <w:tc>
          <w:tcPr>
            <w:tcW w:w="2549" w:type="dxa"/>
            <w:vMerge w:val="continue"/>
            <w:tcBorders>
              <w:top w:val="nil"/>
            </w:tcBorders>
          </w:tcPr>
          <w:p w14:paraId="758788B1">
            <w:pPr>
              <w:rPr>
                <w:rFonts w:ascii="Arial"/>
              </w:rPr>
            </w:pPr>
          </w:p>
        </w:tc>
        <w:tc>
          <w:tcPr>
            <w:tcW w:w="3788" w:type="dxa"/>
            <w:vMerge w:val="continue"/>
            <w:tcBorders>
              <w:top w:val="nil"/>
            </w:tcBorders>
          </w:tcPr>
          <w:p w14:paraId="0AD38CC7">
            <w:pPr>
              <w:rPr>
                <w:rFonts w:ascii="Arial"/>
              </w:rPr>
            </w:pPr>
          </w:p>
        </w:tc>
        <w:tc>
          <w:tcPr>
            <w:tcW w:w="796" w:type="dxa"/>
            <w:vMerge w:val="continue"/>
            <w:tcBorders>
              <w:top w:val="nil"/>
            </w:tcBorders>
          </w:tcPr>
          <w:p w14:paraId="6D4D0248">
            <w:pPr>
              <w:rPr>
                <w:rFonts w:ascii="Arial"/>
              </w:rPr>
            </w:pPr>
          </w:p>
        </w:tc>
        <w:tc>
          <w:tcPr>
            <w:tcW w:w="803" w:type="dxa"/>
            <w:vMerge w:val="continue"/>
            <w:tcBorders>
              <w:top w:val="nil"/>
            </w:tcBorders>
          </w:tcPr>
          <w:p w14:paraId="3E2A36AA">
            <w:pPr>
              <w:rPr>
                <w:rFonts w:ascii="Arial"/>
              </w:rPr>
            </w:pPr>
          </w:p>
        </w:tc>
      </w:tr>
      <w:tr w14:paraId="295A84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26" w:hRule="atLeast"/>
        </w:trPr>
        <w:tc>
          <w:tcPr>
            <w:tcW w:w="1703" w:type="dxa"/>
            <w:vMerge w:val="restart"/>
            <w:tcBorders>
              <w:bottom w:val="nil"/>
            </w:tcBorders>
          </w:tcPr>
          <w:p w14:paraId="7C2EBD2B">
            <w:pPr>
              <w:rPr>
                <w:rFonts w:ascii="Arial"/>
              </w:rPr>
            </w:pPr>
          </w:p>
          <w:p w14:paraId="09F9C7ED">
            <w:pPr>
              <w:rPr>
                <w:rFonts w:ascii="Arial"/>
              </w:rPr>
            </w:pPr>
          </w:p>
          <w:p w14:paraId="675A1E83">
            <w:pPr>
              <w:rPr>
                <w:rFonts w:ascii="Arial"/>
              </w:rPr>
            </w:pPr>
          </w:p>
          <w:p w14:paraId="581EE400">
            <w:pPr>
              <w:rPr>
                <w:rFonts w:ascii="Arial"/>
              </w:rPr>
            </w:pPr>
          </w:p>
          <w:p w14:paraId="7167B053">
            <w:pPr>
              <w:rPr>
                <w:rFonts w:ascii="Arial"/>
              </w:rPr>
            </w:pPr>
          </w:p>
          <w:p w14:paraId="6A26FFBB">
            <w:pPr>
              <w:rPr>
                <w:rFonts w:ascii="Arial"/>
              </w:rPr>
            </w:pPr>
          </w:p>
          <w:p w14:paraId="0EB5219E">
            <w:pPr>
              <w:spacing w:line="241" w:lineRule="auto"/>
              <w:rPr>
                <w:rFonts w:ascii="Arial"/>
              </w:rPr>
            </w:pPr>
          </w:p>
          <w:p w14:paraId="7F151AEB">
            <w:pPr>
              <w:spacing w:line="241" w:lineRule="auto"/>
              <w:rPr>
                <w:rFonts w:ascii="Arial"/>
              </w:rPr>
            </w:pPr>
          </w:p>
          <w:p w14:paraId="14522B12">
            <w:pPr>
              <w:spacing w:line="241" w:lineRule="auto"/>
              <w:rPr>
                <w:rFonts w:ascii="Arial"/>
              </w:rPr>
            </w:pPr>
          </w:p>
          <w:p w14:paraId="348F47E8">
            <w:pPr>
              <w:spacing w:line="241" w:lineRule="auto"/>
              <w:rPr>
                <w:rFonts w:ascii="Arial"/>
              </w:rPr>
            </w:pPr>
          </w:p>
          <w:p w14:paraId="2F8CD036">
            <w:pPr>
              <w:spacing w:line="241" w:lineRule="auto"/>
              <w:rPr>
                <w:rFonts w:ascii="Arial"/>
              </w:rPr>
            </w:pPr>
          </w:p>
          <w:p w14:paraId="38C31724">
            <w:pPr>
              <w:spacing w:before="62" w:line="312" w:lineRule="exact"/>
              <w:ind w:left="108"/>
              <w:jc w:val="center"/>
              <w:rPr>
                <w:rFonts w:ascii="仿宋" w:hAnsi="仿宋" w:eastAsia="仿宋" w:cs="仿宋"/>
                <w:sz w:val="19"/>
                <w:szCs w:val="19"/>
              </w:rPr>
            </w:pPr>
            <w:r>
              <w:rPr>
                <w:rFonts w:ascii="仿宋" w:hAnsi="仿宋" w:eastAsia="仿宋" w:cs="仿宋"/>
                <w:position w:val="8"/>
                <w:sz w:val="19"/>
                <w:szCs w:val="19"/>
              </w:rPr>
              <w:t>A决策</w:t>
            </w:r>
          </w:p>
          <w:p w14:paraId="2853239C">
            <w:pPr>
              <w:spacing w:line="228" w:lineRule="auto"/>
              <w:ind w:left="125"/>
              <w:jc w:val="center"/>
              <w:rPr>
                <w:rFonts w:ascii="仿宋" w:hAnsi="仿宋" w:eastAsia="仿宋" w:cs="仿宋"/>
                <w:sz w:val="19"/>
                <w:szCs w:val="19"/>
              </w:rPr>
            </w:pPr>
            <w:r>
              <w:rPr>
                <w:rFonts w:ascii="仿宋" w:hAnsi="仿宋" w:eastAsia="仿宋" w:cs="仿宋"/>
                <w:spacing w:val="-6"/>
                <w:sz w:val="19"/>
                <w:szCs w:val="19"/>
              </w:rPr>
              <w:t>(</w:t>
            </w:r>
            <w:r>
              <w:rPr>
                <w:rFonts w:hint="eastAsia" w:ascii="仿宋" w:hAnsi="仿宋" w:eastAsia="仿宋" w:cs="仿宋"/>
                <w:spacing w:val="-5"/>
                <w:sz w:val="19"/>
                <w:szCs w:val="19"/>
              </w:rPr>
              <w:t>20</w:t>
            </w:r>
            <w:r>
              <w:rPr>
                <w:rFonts w:ascii="仿宋" w:hAnsi="仿宋" w:eastAsia="仿宋" w:cs="仿宋"/>
                <w:spacing w:val="-5"/>
                <w:sz w:val="19"/>
                <w:szCs w:val="19"/>
              </w:rPr>
              <w:t xml:space="preserve"> 分)</w:t>
            </w:r>
          </w:p>
        </w:tc>
        <w:tc>
          <w:tcPr>
            <w:tcW w:w="1517" w:type="dxa"/>
            <w:vMerge w:val="restart"/>
            <w:tcBorders>
              <w:bottom w:val="nil"/>
            </w:tcBorders>
          </w:tcPr>
          <w:p w14:paraId="659F0CD0">
            <w:pPr>
              <w:spacing w:line="241" w:lineRule="auto"/>
              <w:jc w:val="center"/>
              <w:rPr>
                <w:rFonts w:ascii="Arial"/>
              </w:rPr>
            </w:pPr>
          </w:p>
          <w:p w14:paraId="4DB904E6">
            <w:pPr>
              <w:spacing w:line="241" w:lineRule="auto"/>
              <w:jc w:val="center"/>
              <w:rPr>
                <w:rFonts w:ascii="Arial"/>
              </w:rPr>
            </w:pPr>
          </w:p>
          <w:p w14:paraId="6C66C779">
            <w:pPr>
              <w:spacing w:line="241" w:lineRule="auto"/>
              <w:jc w:val="center"/>
              <w:rPr>
                <w:rFonts w:ascii="Arial"/>
              </w:rPr>
            </w:pPr>
          </w:p>
          <w:p w14:paraId="1EEB668C">
            <w:pPr>
              <w:spacing w:line="242" w:lineRule="auto"/>
              <w:jc w:val="center"/>
              <w:rPr>
                <w:rFonts w:ascii="Arial"/>
              </w:rPr>
            </w:pPr>
          </w:p>
          <w:p w14:paraId="2B225BA7">
            <w:pPr>
              <w:spacing w:line="242" w:lineRule="auto"/>
              <w:jc w:val="center"/>
              <w:rPr>
                <w:rFonts w:ascii="Arial"/>
              </w:rPr>
            </w:pPr>
          </w:p>
          <w:p w14:paraId="2B1A9460">
            <w:pPr>
              <w:spacing w:line="242" w:lineRule="auto"/>
              <w:jc w:val="center"/>
              <w:rPr>
                <w:rFonts w:ascii="Arial"/>
              </w:rPr>
            </w:pPr>
          </w:p>
          <w:p w14:paraId="4D4B143B">
            <w:pPr>
              <w:spacing w:line="242" w:lineRule="auto"/>
              <w:jc w:val="center"/>
              <w:rPr>
                <w:rFonts w:ascii="Arial"/>
              </w:rPr>
            </w:pPr>
          </w:p>
          <w:p w14:paraId="5266C691">
            <w:pPr>
              <w:spacing w:line="242" w:lineRule="auto"/>
              <w:jc w:val="center"/>
              <w:rPr>
                <w:rFonts w:ascii="Arial"/>
              </w:rPr>
            </w:pPr>
          </w:p>
          <w:p w14:paraId="17E36311">
            <w:pPr>
              <w:spacing w:line="242" w:lineRule="auto"/>
              <w:jc w:val="center"/>
              <w:rPr>
                <w:rFonts w:ascii="Arial"/>
              </w:rPr>
            </w:pPr>
          </w:p>
          <w:p w14:paraId="6FC3F927">
            <w:pPr>
              <w:spacing w:before="62" w:line="312" w:lineRule="exact"/>
              <w:ind w:left="104"/>
              <w:jc w:val="center"/>
              <w:rPr>
                <w:rFonts w:ascii="仿宋" w:hAnsi="仿宋" w:eastAsia="仿宋" w:cs="仿宋"/>
                <w:sz w:val="19"/>
                <w:szCs w:val="19"/>
              </w:rPr>
            </w:pPr>
            <w:r>
              <w:rPr>
                <w:rFonts w:ascii="仿宋" w:hAnsi="仿宋" w:eastAsia="仿宋" w:cs="仿宋"/>
                <w:position w:val="8"/>
                <w:sz w:val="19"/>
                <w:szCs w:val="19"/>
              </w:rPr>
              <w:t>A</w:t>
            </w:r>
            <w:r>
              <w:rPr>
                <w:rFonts w:ascii="仿宋" w:hAnsi="仿宋" w:eastAsia="仿宋" w:cs="仿宋"/>
                <w:spacing w:val="1"/>
                <w:position w:val="8"/>
                <w:sz w:val="19"/>
                <w:szCs w:val="19"/>
              </w:rPr>
              <w:t>1 决策机</w:t>
            </w:r>
            <w:r>
              <w:rPr>
                <w:rFonts w:ascii="仿宋" w:hAnsi="仿宋" w:eastAsia="仿宋" w:cs="仿宋"/>
                <w:position w:val="8"/>
                <w:sz w:val="19"/>
                <w:szCs w:val="19"/>
              </w:rPr>
              <w:t>制</w:t>
            </w:r>
          </w:p>
          <w:p w14:paraId="0FDC46DB">
            <w:pPr>
              <w:spacing w:line="228" w:lineRule="auto"/>
              <w:ind w:left="121"/>
              <w:jc w:val="center"/>
              <w:rPr>
                <w:rFonts w:ascii="仿宋" w:hAnsi="仿宋" w:eastAsia="仿宋" w:cs="仿宋"/>
                <w:sz w:val="19"/>
                <w:szCs w:val="19"/>
              </w:rPr>
            </w:pPr>
            <w:r>
              <w:rPr>
                <w:rFonts w:ascii="仿宋" w:hAnsi="仿宋" w:eastAsia="仿宋" w:cs="仿宋"/>
                <w:spacing w:val="11"/>
                <w:sz w:val="19"/>
                <w:szCs w:val="19"/>
              </w:rPr>
              <w:t>(</w:t>
            </w:r>
            <w:r>
              <w:rPr>
                <w:rFonts w:hint="eastAsia" w:ascii="仿宋" w:hAnsi="仿宋" w:eastAsia="仿宋" w:cs="仿宋"/>
                <w:spacing w:val="11"/>
                <w:sz w:val="19"/>
                <w:szCs w:val="19"/>
              </w:rPr>
              <w:t xml:space="preserve">8 </w:t>
            </w:r>
            <w:r>
              <w:rPr>
                <w:rFonts w:ascii="仿宋" w:hAnsi="仿宋" w:eastAsia="仿宋" w:cs="仿宋"/>
                <w:spacing w:val="11"/>
                <w:sz w:val="19"/>
                <w:szCs w:val="19"/>
              </w:rPr>
              <w:t>分</w:t>
            </w:r>
            <w:r>
              <w:rPr>
                <w:rFonts w:ascii="仿宋" w:hAnsi="仿宋" w:eastAsia="仿宋" w:cs="仿宋"/>
                <w:spacing w:val="10"/>
                <w:sz w:val="19"/>
                <w:szCs w:val="19"/>
              </w:rPr>
              <w:t>)</w:t>
            </w:r>
          </w:p>
        </w:tc>
        <w:tc>
          <w:tcPr>
            <w:tcW w:w="1500" w:type="dxa"/>
          </w:tcPr>
          <w:p w14:paraId="696ED7CB">
            <w:pPr>
              <w:spacing w:line="256" w:lineRule="auto"/>
              <w:jc w:val="center"/>
              <w:rPr>
                <w:rFonts w:ascii="Arial"/>
              </w:rPr>
            </w:pPr>
          </w:p>
          <w:p w14:paraId="5C17C25B">
            <w:pPr>
              <w:spacing w:line="256" w:lineRule="auto"/>
              <w:jc w:val="center"/>
              <w:rPr>
                <w:rFonts w:ascii="Arial"/>
              </w:rPr>
            </w:pPr>
          </w:p>
          <w:p w14:paraId="2684F25B">
            <w:pPr>
              <w:spacing w:line="256" w:lineRule="auto"/>
              <w:jc w:val="center"/>
              <w:rPr>
                <w:rFonts w:ascii="Arial"/>
              </w:rPr>
            </w:pPr>
          </w:p>
          <w:p w14:paraId="446D4EF3">
            <w:pPr>
              <w:spacing w:before="62" w:line="313" w:lineRule="auto"/>
              <w:ind w:left="129" w:right="104" w:hanging="24"/>
              <w:jc w:val="center"/>
              <w:rPr>
                <w:rFonts w:ascii="仿宋" w:hAnsi="仿宋" w:eastAsia="仿宋" w:cs="仿宋"/>
                <w:spacing w:val="3"/>
                <w:sz w:val="19"/>
                <w:szCs w:val="19"/>
              </w:rPr>
            </w:pPr>
            <w:r>
              <w:rPr>
                <w:rFonts w:ascii="仿宋" w:hAnsi="仿宋" w:eastAsia="仿宋" w:cs="仿宋"/>
                <w:sz w:val="19"/>
                <w:szCs w:val="19"/>
              </w:rPr>
              <w:t>A</w:t>
            </w:r>
            <w:r>
              <w:rPr>
                <w:rFonts w:ascii="仿宋" w:hAnsi="仿宋" w:eastAsia="仿宋" w:cs="仿宋"/>
                <w:spacing w:val="8"/>
                <w:sz w:val="19"/>
                <w:szCs w:val="19"/>
              </w:rPr>
              <w:t>1</w:t>
            </w:r>
            <w:r>
              <w:rPr>
                <w:rFonts w:ascii="仿宋" w:hAnsi="仿宋" w:eastAsia="仿宋" w:cs="仿宋"/>
                <w:spacing w:val="7"/>
                <w:sz w:val="19"/>
                <w:szCs w:val="19"/>
              </w:rPr>
              <w:t>1 决策制 度</w:t>
            </w:r>
            <w:r>
              <w:rPr>
                <w:rFonts w:ascii="仿宋" w:hAnsi="仿宋" w:eastAsia="仿宋" w:cs="仿宋"/>
                <w:spacing w:val="5"/>
                <w:sz w:val="19"/>
                <w:szCs w:val="19"/>
              </w:rPr>
              <w:t>的</w:t>
            </w:r>
            <w:r>
              <w:rPr>
                <w:rFonts w:ascii="仿宋" w:hAnsi="仿宋" w:eastAsia="仿宋" w:cs="仿宋"/>
                <w:spacing w:val="3"/>
                <w:sz w:val="19"/>
                <w:szCs w:val="19"/>
              </w:rPr>
              <w:t>规范性</w:t>
            </w:r>
          </w:p>
          <w:p w14:paraId="71582940">
            <w:pPr>
              <w:spacing w:before="62" w:line="313" w:lineRule="auto"/>
              <w:ind w:right="104"/>
              <w:jc w:val="center"/>
              <w:rPr>
                <w:rFonts w:ascii="仿宋" w:hAnsi="仿宋" w:eastAsia="仿宋" w:cs="仿宋"/>
                <w:spacing w:val="3"/>
                <w:sz w:val="19"/>
                <w:szCs w:val="19"/>
              </w:rPr>
            </w:pPr>
          </w:p>
        </w:tc>
        <w:tc>
          <w:tcPr>
            <w:tcW w:w="1221" w:type="dxa"/>
          </w:tcPr>
          <w:p w14:paraId="37360C02">
            <w:pPr>
              <w:spacing w:line="307" w:lineRule="auto"/>
              <w:rPr>
                <w:rFonts w:ascii="Arial"/>
              </w:rPr>
            </w:pPr>
          </w:p>
          <w:p w14:paraId="3EBE5F7E">
            <w:pPr>
              <w:spacing w:line="307" w:lineRule="auto"/>
              <w:rPr>
                <w:rFonts w:ascii="Arial"/>
              </w:rPr>
            </w:pPr>
          </w:p>
          <w:p w14:paraId="13197EB8">
            <w:pPr>
              <w:spacing w:line="308" w:lineRule="auto"/>
              <w:rPr>
                <w:rFonts w:ascii="Arial"/>
              </w:rPr>
            </w:pPr>
          </w:p>
          <w:p w14:paraId="1A89ACFC">
            <w:pPr>
              <w:spacing w:before="62" w:line="230" w:lineRule="auto"/>
              <w:ind w:left="422"/>
              <w:rPr>
                <w:rFonts w:ascii="仿宋" w:hAnsi="仿宋" w:eastAsia="仿宋" w:cs="仿宋"/>
                <w:sz w:val="19"/>
                <w:szCs w:val="19"/>
              </w:rPr>
            </w:pPr>
            <w:r>
              <w:rPr>
                <w:rFonts w:ascii="仿宋" w:hAnsi="仿宋" w:eastAsia="仿宋" w:cs="仿宋"/>
                <w:spacing w:val="4"/>
                <w:sz w:val="19"/>
                <w:szCs w:val="19"/>
              </w:rPr>
              <w:t>规范</w:t>
            </w:r>
          </w:p>
        </w:tc>
        <w:tc>
          <w:tcPr>
            <w:tcW w:w="2549" w:type="dxa"/>
          </w:tcPr>
          <w:p w14:paraId="2A053D5B">
            <w:pPr>
              <w:spacing w:line="456" w:lineRule="auto"/>
              <w:rPr>
                <w:rFonts w:ascii="Arial"/>
              </w:rPr>
            </w:pPr>
          </w:p>
          <w:p w14:paraId="36884268">
            <w:pPr>
              <w:spacing w:before="61" w:line="309" w:lineRule="auto"/>
              <w:ind w:left="119"/>
              <w:rPr>
                <w:rFonts w:ascii="仿宋" w:hAnsi="仿宋" w:eastAsia="仿宋" w:cs="仿宋"/>
                <w:sz w:val="19"/>
                <w:szCs w:val="19"/>
              </w:rPr>
            </w:pPr>
            <w:r>
              <w:rPr>
                <w:rFonts w:hint="eastAsia" w:ascii="仿宋" w:hAnsi="仿宋" w:eastAsia="仿宋" w:cs="仿宋"/>
                <w:sz w:val="19"/>
                <w:szCs w:val="19"/>
              </w:rPr>
              <w:t>考察部门决策制度是否符合规范，是否有重要事项决策制度、“三重一大” 事项决策制度等。</w:t>
            </w:r>
          </w:p>
        </w:tc>
        <w:tc>
          <w:tcPr>
            <w:tcW w:w="3788" w:type="dxa"/>
          </w:tcPr>
          <w:p w14:paraId="190A2338">
            <w:pPr>
              <w:spacing w:before="55" w:line="303" w:lineRule="auto"/>
              <w:ind w:left="115" w:right="2" w:firstLine="12"/>
              <w:jc w:val="left"/>
              <w:rPr>
                <w:rFonts w:ascii="仿宋" w:hAnsi="仿宋" w:eastAsia="仿宋" w:cs="仿宋"/>
                <w:sz w:val="19"/>
                <w:szCs w:val="19"/>
              </w:rPr>
            </w:pPr>
            <w:r>
              <w:rPr>
                <w:rFonts w:ascii="仿宋" w:hAnsi="仿宋" w:eastAsia="仿宋" w:cs="仿宋"/>
                <w:spacing w:val="18"/>
                <w:sz w:val="19"/>
                <w:szCs w:val="19"/>
              </w:rPr>
              <w:t>1</w:t>
            </w:r>
            <w:r>
              <w:rPr>
                <w:rFonts w:ascii="仿宋" w:hAnsi="仿宋" w:eastAsia="仿宋" w:cs="仿宋"/>
                <w:spacing w:val="13"/>
                <w:sz w:val="19"/>
                <w:szCs w:val="19"/>
              </w:rPr>
              <w:t>.部门有完善决策机制，如“三重一大”</w:t>
            </w:r>
            <w:r>
              <w:rPr>
                <w:rFonts w:ascii="仿宋" w:hAnsi="仿宋" w:eastAsia="仿宋" w:cs="仿宋"/>
                <w:spacing w:val="6"/>
                <w:sz w:val="19"/>
                <w:szCs w:val="19"/>
              </w:rPr>
              <w:t>等重要</w:t>
            </w:r>
            <w:r>
              <w:rPr>
                <w:rFonts w:ascii="仿宋" w:hAnsi="仿宋" w:eastAsia="仿宋" w:cs="仿宋"/>
                <w:spacing w:val="4"/>
                <w:sz w:val="19"/>
                <w:szCs w:val="19"/>
              </w:rPr>
              <w:t>事</w:t>
            </w:r>
            <w:r>
              <w:rPr>
                <w:rFonts w:ascii="仿宋" w:hAnsi="仿宋" w:eastAsia="仿宋" w:cs="仿宋"/>
                <w:spacing w:val="3"/>
                <w:sz w:val="19"/>
                <w:szCs w:val="19"/>
              </w:rPr>
              <w:t>项决策制度， 发现一处不完善扣</w:t>
            </w:r>
            <w:r>
              <w:rPr>
                <w:rFonts w:ascii="仿宋" w:hAnsi="仿宋" w:eastAsia="仿宋" w:cs="仿宋"/>
                <w:spacing w:val="-12"/>
                <w:sz w:val="19"/>
                <w:szCs w:val="19"/>
              </w:rPr>
              <w:t>减</w:t>
            </w:r>
            <w:r>
              <w:rPr>
                <w:rFonts w:ascii="仿宋" w:hAnsi="仿宋" w:eastAsia="仿宋" w:cs="仿宋"/>
                <w:spacing w:val="-6"/>
                <w:sz w:val="19"/>
                <w:szCs w:val="19"/>
              </w:rPr>
              <w:t>20%权重， 扣完为止；</w:t>
            </w:r>
            <w:r>
              <w:rPr>
                <w:rFonts w:ascii="仿宋" w:hAnsi="仿宋" w:eastAsia="仿宋" w:cs="仿宋"/>
                <w:spacing w:val="16"/>
                <w:sz w:val="19"/>
                <w:szCs w:val="19"/>
              </w:rPr>
              <w:t>2</w:t>
            </w:r>
            <w:r>
              <w:rPr>
                <w:rFonts w:ascii="仿宋" w:hAnsi="仿宋" w:eastAsia="仿宋" w:cs="仿宋"/>
                <w:spacing w:val="8"/>
                <w:sz w:val="19"/>
                <w:szCs w:val="19"/>
              </w:rPr>
              <w:t>.决策制度的制定规范、科学，发现一处</w:t>
            </w:r>
            <w:r>
              <w:rPr>
                <w:rFonts w:ascii="仿宋" w:hAnsi="仿宋" w:eastAsia="仿宋" w:cs="仿宋"/>
                <w:spacing w:val="6"/>
                <w:sz w:val="19"/>
                <w:szCs w:val="19"/>
              </w:rPr>
              <w:t>不完</w:t>
            </w:r>
            <w:r>
              <w:rPr>
                <w:rFonts w:ascii="仿宋" w:hAnsi="仿宋" w:eastAsia="仿宋" w:cs="仿宋"/>
                <w:spacing w:val="4"/>
                <w:sz w:val="19"/>
                <w:szCs w:val="19"/>
              </w:rPr>
              <w:t>善</w:t>
            </w:r>
            <w:r>
              <w:rPr>
                <w:rFonts w:ascii="仿宋" w:hAnsi="仿宋" w:eastAsia="仿宋" w:cs="仿宋"/>
                <w:spacing w:val="3"/>
                <w:sz w:val="19"/>
                <w:szCs w:val="19"/>
              </w:rPr>
              <w:t>扣减 20%权重，扣完为止。</w:t>
            </w:r>
          </w:p>
          <w:p w14:paraId="35E1EEA8">
            <w:pPr>
              <w:spacing w:line="265" w:lineRule="auto"/>
              <w:ind w:left="126" w:right="103" w:firstLine="13"/>
              <w:rPr>
                <w:rFonts w:ascii="仿宋" w:hAnsi="仿宋" w:eastAsia="仿宋" w:cs="仿宋"/>
                <w:sz w:val="19"/>
                <w:szCs w:val="19"/>
              </w:rPr>
            </w:pPr>
            <w:r>
              <w:rPr>
                <w:rFonts w:ascii="仿宋" w:hAnsi="仿宋" w:eastAsia="仿宋" w:cs="仿宋"/>
                <w:spacing w:val="-8"/>
                <w:sz w:val="19"/>
                <w:szCs w:val="19"/>
              </w:rPr>
              <w:t>以</w:t>
            </w:r>
            <w:r>
              <w:rPr>
                <w:rFonts w:ascii="仿宋" w:hAnsi="仿宋" w:eastAsia="仿宋" w:cs="仿宋"/>
                <w:spacing w:val="-6"/>
                <w:sz w:val="19"/>
                <w:szCs w:val="19"/>
              </w:rPr>
              <w:t>上 2 项各占 1/2 权重分， 符合得对应权</w:t>
            </w:r>
            <w:r>
              <w:rPr>
                <w:rFonts w:ascii="仿宋" w:hAnsi="仿宋" w:eastAsia="仿宋" w:cs="仿宋"/>
                <w:spacing w:val="5"/>
                <w:sz w:val="19"/>
                <w:szCs w:val="19"/>
              </w:rPr>
              <w:t>重分，否则不得分</w:t>
            </w:r>
            <w:r>
              <w:rPr>
                <w:rFonts w:ascii="仿宋" w:hAnsi="仿宋" w:eastAsia="仿宋" w:cs="仿宋"/>
                <w:spacing w:val="4"/>
                <w:sz w:val="19"/>
                <w:szCs w:val="19"/>
              </w:rPr>
              <w:t>。</w:t>
            </w:r>
          </w:p>
        </w:tc>
        <w:tc>
          <w:tcPr>
            <w:tcW w:w="796" w:type="dxa"/>
          </w:tcPr>
          <w:p w14:paraId="056E5D8C">
            <w:pPr>
              <w:spacing w:line="319" w:lineRule="auto"/>
              <w:jc w:val="center"/>
              <w:rPr>
                <w:rFonts w:ascii="Arial"/>
              </w:rPr>
            </w:pPr>
          </w:p>
          <w:p w14:paraId="530A217B">
            <w:pPr>
              <w:spacing w:line="319" w:lineRule="auto"/>
              <w:jc w:val="center"/>
              <w:rPr>
                <w:rFonts w:ascii="Arial"/>
              </w:rPr>
            </w:pPr>
          </w:p>
          <w:p w14:paraId="632B8052">
            <w:pPr>
              <w:spacing w:line="320" w:lineRule="auto"/>
              <w:jc w:val="center"/>
              <w:rPr>
                <w:rFonts w:ascii="Arial"/>
              </w:rPr>
            </w:pPr>
          </w:p>
          <w:p w14:paraId="11A83ABC">
            <w:pPr>
              <w:spacing w:before="62" w:line="185" w:lineRule="auto"/>
              <w:jc w:val="center"/>
              <w:rPr>
                <w:rFonts w:ascii="仿宋" w:hAnsi="仿宋" w:eastAsia="仿宋" w:cs="仿宋"/>
                <w:sz w:val="19"/>
                <w:szCs w:val="19"/>
              </w:rPr>
            </w:pPr>
            <w:r>
              <w:rPr>
                <w:rFonts w:hint="eastAsia" w:ascii="仿宋" w:hAnsi="仿宋" w:eastAsia="仿宋" w:cs="仿宋"/>
                <w:sz w:val="19"/>
                <w:szCs w:val="19"/>
              </w:rPr>
              <w:t>3</w:t>
            </w:r>
          </w:p>
        </w:tc>
        <w:tc>
          <w:tcPr>
            <w:tcW w:w="803" w:type="dxa"/>
          </w:tcPr>
          <w:p w14:paraId="03EC423D">
            <w:pPr>
              <w:spacing w:line="319" w:lineRule="auto"/>
              <w:jc w:val="center"/>
              <w:rPr>
                <w:rFonts w:ascii="Arial"/>
              </w:rPr>
            </w:pPr>
          </w:p>
          <w:p w14:paraId="60710D58">
            <w:pPr>
              <w:spacing w:line="319" w:lineRule="auto"/>
              <w:jc w:val="center"/>
              <w:rPr>
                <w:rFonts w:ascii="Arial"/>
              </w:rPr>
            </w:pPr>
          </w:p>
          <w:p w14:paraId="0BCBCC0F">
            <w:pPr>
              <w:spacing w:line="320" w:lineRule="auto"/>
              <w:jc w:val="center"/>
              <w:rPr>
                <w:rFonts w:ascii="Arial"/>
              </w:rPr>
            </w:pPr>
          </w:p>
          <w:p w14:paraId="4306F871">
            <w:pPr>
              <w:spacing w:before="62" w:line="185" w:lineRule="auto"/>
              <w:jc w:val="center"/>
              <w:rPr>
                <w:rFonts w:ascii="仿宋" w:hAnsi="仿宋" w:eastAsia="仿宋" w:cs="仿宋"/>
                <w:sz w:val="19"/>
                <w:szCs w:val="19"/>
              </w:rPr>
            </w:pPr>
            <w:r>
              <w:rPr>
                <w:rFonts w:hint="eastAsia" w:ascii="仿宋" w:hAnsi="仿宋" w:eastAsia="仿宋" w:cs="仿宋"/>
                <w:sz w:val="19"/>
                <w:szCs w:val="19"/>
              </w:rPr>
              <w:t>2.7</w:t>
            </w:r>
          </w:p>
        </w:tc>
      </w:tr>
      <w:tr w14:paraId="15A296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3" w:hRule="atLeast"/>
        </w:trPr>
        <w:tc>
          <w:tcPr>
            <w:tcW w:w="1703" w:type="dxa"/>
            <w:vMerge w:val="continue"/>
            <w:tcBorders>
              <w:top w:val="nil"/>
              <w:bottom w:val="nil"/>
            </w:tcBorders>
          </w:tcPr>
          <w:p w14:paraId="7063D2D0">
            <w:pPr>
              <w:rPr>
                <w:rFonts w:ascii="Arial"/>
              </w:rPr>
            </w:pPr>
          </w:p>
        </w:tc>
        <w:tc>
          <w:tcPr>
            <w:tcW w:w="1517" w:type="dxa"/>
            <w:vMerge w:val="continue"/>
            <w:tcBorders>
              <w:top w:val="nil"/>
              <w:bottom w:val="nil"/>
            </w:tcBorders>
          </w:tcPr>
          <w:p w14:paraId="4F237FB3">
            <w:pPr>
              <w:jc w:val="center"/>
              <w:rPr>
                <w:rFonts w:ascii="Arial"/>
              </w:rPr>
            </w:pPr>
          </w:p>
        </w:tc>
        <w:tc>
          <w:tcPr>
            <w:tcW w:w="1500" w:type="dxa"/>
          </w:tcPr>
          <w:p w14:paraId="3E98B061">
            <w:pPr>
              <w:spacing w:before="215" w:line="313" w:lineRule="auto"/>
              <w:ind w:left="115" w:right="104" w:hanging="10"/>
              <w:jc w:val="center"/>
              <w:rPr>
                <w:rFonts w:ascii="仿宋" w:hAnsi="仿宋" w:eastAsia="仿宋" w:cs="仿宋"/>
                <w:sz w:val="19"/>
                <w:szCs w:val="19"/>
              </w:rPr>
            </w:pPr>
            <w:r>
              <w:rPr>
                <w:rFonts w:ascii="仿宋" w:hAnsi="仿宋" w:eastAsia="仿宋" w:cs="仿宋"/>
                <w:sz w:val="19"/>
                <w:szCs w:val="19"/>
              </w:rPr>
              <w:t>A</w:t>
            </w:r>
            <w:r>
              <w:rPr>
                <w:rFonts w:ascii="仿宋" w:hAnsi="仿宋" w:eastAsia="仿宋" w:cs="仿宋"/>
                <w:spacing w:val="8"/>
                <w:sz w:val="19"/>
                <w:szCs w:val="19"/>
              </w:rPr>
              <w:t>1</w:t>
            </w:r>
            <w:r>
              <w:rPr>
                <w:rFonts w:ascii="仿宋" w:hAnsi="仿宋" w:eastAsia="仿宋" w:cs="仿宋"/>
                <w:spacing w:val="7"/>
                <w:sz w:val="19"/>
                <w:szCs w:val="19"/>
              </w:rPr>
              <w:t>2 决策执 行</w:t>
            </w:r>
            <w:r>
              <w:rPr>
                <w:rFonts w:ascii="仿宋" w:hAnsi="仿宋" w:eastAsia="仿宋" w:cs="仿宋"/>
                <w:spacing w:val="6"/>
                <w:sz w:val="19"/>
                <w:szCs w:val="19"/>
              </w:rPr>
              <w:t>有效性</w:t>
            </w:r>
          </w:p>
        </w:tc>
        <w:tc>
          <w:tcPr>
            <w:tcW w:w="1221" w:type="dxa"/>
          </w:tcPr>
          <w:p w14:paraId="3571CDE8">
            <w:pPr>
              <w:spacing w:line="307" w:lineRule="auto"/>
              <w:rPr>
                <w:rFonts w:ascii="Arial"/>
              </w:rPr>
            </w:pPr>
          </w:p>
          <w:p w14:paraId="1940631D">
            <w:pPr>
              <w:spacing w:before="61" w:line="227" w:lineRule="auto"/>
              <w:ind w:left="420"/>
              <w:rPr>
                <w:rFonts w:ascii="仿宋" w:hAnsi="仿宋" w:eastAsia="仿宋" w:cs="仿宋"/>
                <w:sz w:val="19"/>
                <w:szCs w:val="19"/>
              </w:rPr>
            </w:pPr>
            <w:r>
              <w:rPr>
                <w:rFonts w:ascii="仿宋" w:hAnsi="仿宋" w:eastAsia="仿宋" w:cs="仿宋"/>
                <w:spacing w:val="5"/>
                <w:sz w:val="19"/>
                <w:szCs w:val="19"/>
              </w:rPr>
              <w:t>有</w:t>
            </w:r>
            <w:r>
              <w:rPr>
                <w:rFonts w:ascii="仿宋" w:hAnsi="仿宋" w:eastAsia="仿宋" w:cs="仿宋"/>
                <w:spacing w:val="4"/>
                <w:sz w:val="19"/>
                <w:szCs w:val="19"/>
              </w:rPr>
              <w:t>效</w:t>
            </w:r>
          </w:p>
        </w:tc>
        <w:tc>
          <w:tcPr>
            <w:tcW w:w="2549" w:type="dxa"/>
          </w:tcPr>
          <w:p w14:paraId="1E4F4E10">
            <w:pPr>
              <w:spacing w:before="214" w:line="314" w:lineRule="auto"/>
              <w:ind w:left="120" w:right="107" w:hanging="1"/>
              <w:rPr>
                <w:rFonts w:ascii="仿宋" w:hAnsi="仿宋" w:eastAsia="仿宋" w:cs="仿宋"/>
                <w:sz w:val="19"/>
                <w:szCs w:val="19"/>
              </w:rPr>
            </w:pPr>
            <w:r>
              <w:rPr>
                <w:rFonts w:ascii="仿宋" w:hAnsi="仿宋" w:eastAsia="仿宋" w:cs="仿宋"/>
                <w:spacing w:val="22"/>
                <w:sz w:val="19"/>
                <w:szCs w:val="19"/>
              </w:rPr>
              <w:t>考察部门决策是否按照</w:t>
            </w:r>
            <w:r>
              <w:rPr>
                <w:rFonts w:ascii="仿宋" w:hAnsi="仿宋" w:eastAsia="仿宋" w:cs="仿宋"/>
                <w:spacing w:val="20"/>
                <w:sz w:val="19"/>
                <w:szCs w:val="19"/>
              </w:rPr>
              <w:t>决</w:t>
            </w:r>
            <w:r>
              <w:rPr>
                <w:rFonts w:ascii="仿宋" w:hAnsi="仿宋" w:eastAsia="仿宋" w:cs="仿宋"/>
                <w:spacing w:val="7"/>
                <w:sz w:val="19"/>
                <w:szCs w:val="19"/>
              </w:rPr>
              <w:t>策</w:t>
            </w:r>
            <w:r>
              <w:rPr>
                <w:rFonts w:ascii="仿宋" w:hAnsi="仿宋" w:eastAsia="仿宋" w:cs="仿宋"/>
                <w:spacing w:val="5"/>
                <w:sz w:val="19"/>
                <w:szCs w:val="19"/>
              </w:rPr>
              <w:t>制度及流程执行。</w:t>
            </w:r>
          </w:p>
        </w:tc>
        <w:tc>
          <w:tcPr>
            <w:tcW w:w="3788" w:type="dxa"/>
          </w:tcPr>
          <w:p w14:paraId="700B2DCE">
            <w:pPr>
              <w:spacing w:before="58" w:line="278" w:lineRule="auto"/>
              <w:ind w:left="119" w:right="101" w:firstLine="1"/>
              <w:rPr>
                <w:rFonts w:ascii="仿宋" w:hAnsi="仿宋" w:eastAsia="仿宋" w:cs="仿宋"/>
                <w:sz w:val="19"/>
                <w:szCs w:val="19"/>
              </w:rPr>
            </w:pPr>
            <w:r>
              <w:rPr>
                <w:rFonts w:ascii="仿宋" w:hAnsi="仿宋" w:eastAsia="仿宋" w:cs="仿宋"/>
                <w:spacing w:val="6"/>
                <w:sz w:val="19"/>
                <w:szCs w:val="19"/>
              </w:rPr>
              <w:t>部</w:t>
            </w:r>
            <w:r>
              <w:rPr>
                <w:rFonts w:ascii="仿宋" w:hAnsi="仿宋" w:eastAsia="仿宋" w:cs="仿宋"/>
                <w:spacing w:val="5"/>
                <w:sz w:val="19"/>
                <w:szCs w:val="19"/>
              </w:rPr>
              <w:t>门</w:t>
            </w:r>
            <w:r>
              <w:rPr>
                <w:rFonts w:ascii="仿宋" w:hAnsi="仿宋" w:eastAsia="仿宋" w:cs="仿宋"/>
                <w:spacing w:val="3"/>
                <w:sz w:val="19"/>
                <w:szCs w:val="19"/>
              </w:rPr>
              <w:t>按照决策制度执行决策流程， 得对应</w:t>
            </w:r>
            <w:r>
              <w:rPr>
                <w:rFonts w:ascii="仿宋" w:hAnsi="仿宋" w:eastAsia="仿宋" w:cs="仿宋"/>
                <w:spacing w:val="6"/>
                <w:sz w:val="19"/>
                <w:szCs w:val="19"/>
              </w:rPr>
              <w:t>权</w:t>
            </w:r>
            <w:r>
              <w:rPr>
                <w:rFonts w:ascii="仿宋" w:hAnsi="仿宋" w:eastAsia="仿宋" w:cs="仿宋"/>
                <w:spacing w:val="4"/>
                <w:sz w:val="19"/>
                <w:szCs w:val="19"/>
              </w:rPr>
              <w:t>重</w:t>
            </w:r>
            <w:r>
              <w:rPr>
                <w:rFonts w:ascii="仿宋" w:hAnsi="仿宋" w:eastAsia="仿宋" w:cs="仿宋"/>
                <w:spacing w:val="3"/>
                <w:sz w:val="19"/>
                <w:szCs w:val="19"/>
              </w:rPr>
              <w:t>分， 发现一处未按制度执行扣减 20%</w:t>
            </w:r>
            <w:r>
              <w:rPr>
                <w:rFonts w:ascii="仿宋" w:hAnsi="仿宋" w:eastAsia="仿宋" w:cs="仿宋"/>
                <w:spacing w:val="7"/>
                <w:sz w:val="19"/>
                <w:szCs w:val="19"/>
              </w:rPr>
              <w:t>权重，扣完为止。</w:t>
            </w:r>
          </w:p>
        </w:tc>
        <w:tc>
          <w:tcPr>
            <w:tcW w:w="796" w:type="dxa"/>
          </w:tcPr>
          <w:p w14:paraId="6D695046">
            <w:pPr>
              <w:spacing w:line="342" w:lineRule="auto"/>
              <w:jc w:val="center"/>
              <w:rPr>
                <w:rFonts w:ascii="Arial"/>
              </w:rPr>
            </w:pPr>
          </w:p>
          <w:p w14:paraId="0E09B865">
            <w:pPr>
              <w:spacing w:before="62" w:line="185" w:lineRule="auto"/>
              <w:jc w:val="center"/>
              <w:rPr>
                <w:rFonts w:ascii="仿宋" w:hAnsi="仿宋" w:eastAsia="仿宋" w:cs="仿宋"/>
                <w:sz w:val="19"/>
                <w:szCs w:val="19"/>
              </w:rPr>
            </w:pPr>
            <w:r>
              <w:rPr>
                <w:rFonts w:hint="eastAsia" w:ascii="仿宋" w:hAnsi="仿宋" w:eastAsia="仿宋" w:cs="仿宋"/>
                <w:sz w:val="19"/>
                <w:szCs w:val="19"/>
              </w:rPr>
              <w:t>3</w:t>
            </w:r>
          </w:p>
        </w:tc>
        <w:tc>
          <w:tcPr>
            <w:tcW w:w="803" w:type="dxa"/>
          </w:tcPr>
          <w:p w14:paraId="5AB1CC9C">
            <w:pPr>
              <w:spacing w:line="343" w:lineRule="auto"/>
              <w:jc w:val="center"/>
              <w:rPr>
                <w:rFonts w:ascii="Arial"/>
              </w:rPr>
            </w:pPr>
          </w:p>
          <w:p w14:paraId="1BAF8BC5">
            <w:pPr>
              <w:spacing w:before="62" w:line="184" w:lineRule="auto"/>
              <w:jc w:val="center"/>
              <w:rPr>
                <w:rFonts w:ascii="仿宋" w:hAnsi="仿宋" w:eastAsia="仿宋" w:cs="仿宋"/>
                <w:sz w:val="19"/>
                <w:szCs w:val="19"/>
              </w:rPr>
            </w:pPr>
            <w:r>
              <w:rPr>
                <w:rFonts w:hint="eastAsia" w:ascii="仿宋" w:hAnsi="仿宋" w:eastAsia="仿宋" w:cs="仿宋"/>
                <w:spacing w:val="3"/>
                <w:sz w:val="19"/>
                <w:szCs w:val="19"/>
              </w:rPr>
              <w:t>3</w:t>
            </w:r>
          </w:p>
        </w:tc>
      </w:tr>
      <w:tr w14:paraId="0A229C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57" w:hRule="atLeast"/>
        </w:trPr>
        <w:tc>
          <w:tcPr>
            <w:tcW w:w="1703" w:type="dxa"/>
            <w:vMerge w:val="continue"/>
            <w:tcBorders>
              <w:top w:val="nil"/>
              <w:bottom w:val="nil"/>
            </w:tcBorders>
          </w:tcPr>
          <w:p w14:paraId="08C5BDC6">
            <w:pPr>
              <w:rPr>
                <w:rFonts w:ascii="Arial"/>
              </w:rPr>
            </w:pPr>
          </w:p>
        </w:tc>
        <w:tc>
          <w:tcPr>
            <w:tcW w:w="1517" w:type="dxa"/>
            <w:vMerge w:val="continue"/>
            <w:tcBorders>
              <w:top w:val="nil"/>
            </w:tcBorders>
          </w:tcPr>
          <w:p w14:paraId="3E9B3E97">
            <w:pPr>
              <w:jc w:val="center"/>
              <w:rPr>
                <w:rFonts w:ascii="Arial"/>
              </w:rPr>
            </w:pPr>
          </w:p>
        </w:tc>
        <w:tc>
          <w:tcPr>
            <w:tcW w:w="1500" w:type="dxa"/>
          </w:tcPr>
          <w:p w14:paraId="11D8079B">
            <w:pPr>
              <w:spacing w:line="307" w:lineRule="auto"/>
              <w:jc w:val="center"/>
              <w:rPr>
                <w:rFonts w:ascii="Arial"/>
              </w:rPr>
            </w:pPr>
          </w:p>
          <w:p w14:paraId="269F56F6">
            <w:pPr>
              <w:spacing w:line="308" w:lineRule="auto"/>
              <w:jc w:val="center"/>
              <w:rPr>
                <w:rFonts w:ascii="Arial"/>
              </w:rPr>
            </w:pPr>
          </w:p>
          <w:p w14:paraId="54EF29AC">
            <w:pPr>
              <w:spacing w:before="62" w:line="314" w:lineRule="auto"/>
              <w:ind w:left="122" w:right="104" w:hanging="17"/>
              <w:jc w:val="center"/>
              <w:rPr>
                <w:rFonts w:ascii="仿宋" w:hAnsi="仿宋" w:eastAsia="仿宋" w:cs="仿宋"/>
                <w:sz w:val="19"/>
                <w:szCs w:val="19"/>
              </w:rPr>
            </w:pPr>
            <w:r>
              <w:rPr>
                <w:rFonts w:ascii="仿宋" w:hAnsi="仿宋" w:eastAsia="仿宋" w:cs="仿宋"/>
                <w:sz w:val="19"/>
                <w:szCs w:val="19"/>
              </w:rPr>
              <w:t>A</w:t>
            </w:r>
            <w:r>
              <w:rPr>
                <w:rFonts w:ascii="仿宋" w:hAnsi="仿宋" w:eastAsia="仿宋" w:cs="仿宋"/>
                <w:spacing w:val="8"/>
                <w:sz w:val="19"/>
                <w:szCs w:val="19"/>
              </w:rPr>
              <w:t>1</w:t>
            </w:r>
            <w:r>
              <w:rPr>
                <w:rFonts w:ascii="仿宋" w:hAnsi="仿宋" w:eastAsia="仿宋" w:cs="仿宋"/>
                <w:spacing w:val="7"/>
                <w:sz w:val="19"/>
                <w:szCs w:val="19"/>
              </w:rPr>
              <w:t>3 决策执行监督制衡机</w:t>
            </w:r>
            <w:r>
              <w:rPr>
                <w:rFonts w:ascii="仿宋" w:hAnsi="仿宋" w:eastAsia="仿宋" w:cs="仿宋"/>
                <w:spacing w:val="5"/>
                <w:sz w:val="19"/>
                <w:szCs w:val="19"/>
              </w:rPr>
              <w:t>制</w:t>
            </w:r>
          </w:p>
        </w:tc>
        <w:tc>
          <w:tcPr>
            <w:tcW w:w="1221" w:type="dxa"/>
          </w:tcPr>
          <w:p w14:paraId="66564E33">
            <w:pPr>
              <w:spacing w:line="256" w:lineRule="auto"/>
              <w:rPr>
                <w:rFonts w:ascii="Arial"/>
              </w:rPr>
            </w:pPr>
          </w:p>
          <w:p w14:paraId="7CC206A7">
            <w:pPr>
              <w:spacing w:line="257" w:lineRule="auto"/>
              <w:rPr>
                <w:rFonts w:ascii="Arial"/>
              </w:rPr>
            </w:pPr>
          </w:p>
          <w:p w14:paraId="4B3EA90B">
            <w:pPr>
              <w:spacing w:line="257" w:lineRule="auto"/>
              <w:rPr>
                <w:rFonts w:ascii="Arial"/>
              </w:rPr>
            </w:pPr>
          </w:p>
          <w:p w14:paraId="5B1F7124">
            <w:pPr>
              <w:spacing w:before="62" w:line="227" w:lineRule="auto"/>
              <w:ind w:left="423"/>
              <w:rPr>
                <w:rFonts w:ascii="仿宋" w:hAnsi="仿宋" w:eastAsia="仿宋" w:cs="仿宋"/>
                <w:sz w:val="19"/>
                <w:szCs w:val="19"/>
              </w:rPr>
            </w:pPr>
            <w:r>
              <w:rPr>
                <w:rFonts w:ascii="仿宋" w:hAnsi="仿宋" w:eastAsia="仿宋" w:cs="仿宋"/>
                <w:spacing w:val="3"/>
                <w:sz w:val="19"/>
                <w:szCs w:val="19"/>
              </w:rPr>
              <w:t>科学</w:t>
            </w:r>
          </w:p>
        </w:tc>
        <w:tc>
          <w:tcPr>
            <w:tcW w:w="2549" w:type="dxa"/>
          </w:tcPr>
          <w:p w14:paraId="2FB9B580">
            <w:pPr>
              <w:spacing w:before="54" w:line="291" w:lineRule="auto"/>
              <w:ind w:left="119" w:right="101"/>
              <w:rPr>
                <w:rFonts w:ascii="仿宋" w:hAnsi="仿宋" w:eastAsia="仿宋" w:cs="仿宋"/>
                <w:sz w:val="19"/>
                <w:szCs w:val="19"/>
              </w:rPr>
            </w:pPr>
            <w:r>
              <w:rPr>
                <w:rFonts w:hint="eastAsia" w:ascii="仿宋" w:hAnsi="仿宋" w:eastAsia="仿宋" w:cs="仿宋"/>
                <w:sz w:val="19"/>
                <w:szCs w:val="19"/>
              </w:rPr>
              <w:t>考察部门决策执行是否有相关的监督制衡机制。如： 是否有内部有关部门对执行情况进行监督检查，是否引进外部监督如媒体、中介审计等监督主体。</w:t>
            </w:r>
          </w:p>
        </w:tc>
        <w:tc>
          <w:tcPr>
            <w:tcW w:w="3788" w:type="dxa"/>
          </w:tcPr>
          <w:p w14:paraId="2236D9AC">
            <w:pPr>
              <w:spacing w:line="305" w:lineRule="auto"/>
              <w:rPr>
                <w:rFonts w:ascii="Arial"/>
              </w:rPr>
            </w:pPr>
          </w:p>
          <w:p w14:paraId="606DB5B7">
            <w:pPr>
              <w:spacing w:before="62" w:line="309" w:lineRule="auto"/>
              <w:ind w:left="115" w:right="103" w:firstLine="12"/>
              <w:rPr>
                <w:rFonts w:ascii="仿宋" w:hAnsi="仿宋" w:eastAsia="仿宋" w:cs="仿宋"/>
                <w:sz w:val="19"/>
                <w:szCs w:val="19"/>
              </w:rPr>
            </w:pPr>
            <w:r>
              <w:rPr>
                <w:rFonts w:ascii="仿宋" w:hAnsi="仿宋" w:eastAsia="仿宋" w:cs="仿宋"/>
                <w:spacing w:val="14"/>
                <w:sz w:val="19"/>
                <w:szCs w:val="19"/>
              </w:rPr>
              <w:t>1</w:t>
            </w:r>
            <w:r>
              <w:rPr>
                <w:rFonts w:ascii="仿宋" w:hAnsi="仿宋" w:eastAsia="仿宋" w:cs="仿宋"/>
                <w:spacing w:val="10"/>
                <w:sz w:val="19"/>
                <w:szCs w:val="19"/>
              </w:rPr>
              <w:t>.</w:t>
            </w:r>
            <w:r>
              <w:rPr>
                <w:rFonts w:ascii="仿宋" w:hAnsi="仿宋" w:eastAsia="仿宋" w:cs="仿宋"/>
                <w:spacing w:val="7"/>
                <w:sz w:val="19"/>
                <w:szCs w:val="19"/>
              </w:rPr>
              <w:t>部门决策执行有相关监督机制制衡；</w:t>
            </w:r>
            <w:r>
              <w:rPr>
                <w:rFonts w:ascii="仿宋" w:hAnsi="仿宋" w:eastAsia="仿宋" w:cs="仿宋"/>
                <w:spacing w:val="10"/>
                <w:sz w:val="19"/>
                <w:szCs w:val="19"/>
              </w:rPr>
              <w:t>2</w:t>
            </w:r>
            <w:r>
              <w:rPr>
                <w:rFonts w:ascii="仿宋" w:hAnsi="仿宋" w:eastAsia="仿宋" w:cs="仿宋"/>
                <w:spacing w:val="7"/>
                <w:sz w:val="19"/>
                <w:szCs w:val="19"/>
              </w:rPr>
              <w:t>.相关监督制衡机制制定科学、合理。</w:t>
            </w:r>
            <w:r>
              <w:rPr>
                <w:rFonts w:ascii="仿宋" w:hAnsi="仿宋" w:eastAsia="仿宋" w:cs="仿宋"/>
                <w:spacing w:val="-7"/>
                <w:sz w:val="19"/>
                <w:szCs w:val="19"/>
              </w:rPr>
              <w:t>以</w:t>
            </w:r>
            <w:r>
              <w:rPr>
                <w:rFonts w:ascii="仿宋" w:hAnsi="仿宋" w:eastAsia="仿宋" w:cs="仿宋"/>
                <w:spacing w:val="-5"/>
                <w:sz w:val="19"/>
                <w:szCs w:val="19"/>
              </w:rPr>
              <w:t>上 2 项各占 1/2 权重分， 符合得对应权</w:t>
            </w:r>
            <w:r>
              <w:rPr>
                <w:rFonts w:ascii="仿宋" w:hAnsi="仿宋" w:eastAsia="仿宋" w:cs="仿宋"/>
                <w:spacing w:val="6"/>
                <w:sz w:val="19"/>
                <w:szCs w:val="19"/>
              </w:rPr>
              <w:t>重分，否则不得分。</w:t>
            </w:r>
          </w:p>
        </w:tc>
        <w:tc>
          <w:tcPr>
            <w:tcW w:w="796" w:type="dxa"/>
          </w:tcPr>
          <w:p w14:paraId="546FD47E">
            <w:pPr>
              <w:spacing w:line="268" w:lineRule="auto"/>
              <w:jc w:val="center"/>
              <w:rPr>
                <w:rFonts w:ascii="Arial"/>
              </w:rPr>
            </w:pPr>
          </w:p>
          <w:p w14:paraId="60D74FBD">
            <w:pPr>
              <w:spacing w:line="269" w:lineRule="auto"/>
              <w:jc w:val="center"/>
              <w:rPr>
                <w:rFonts w:ascii="Arial"/>
              </w:rPr>
            </w:pPr>
          </w:p>
          <w:p w14:paraId="237A9AF9">
            <w:pPr>
              <w:spacing w:line="269" w:lineRule="auto"/>
              <w:jc w:val="center"/>
              <w:rPr>
                <w:rFonts w:ascii="Arial"/>
              </w:rPr>
            </w:pPr>
          </w:p>
          <w:p w14:paraId="408801EA">
            <w:pPr>
              <w:spacing w:before="62" w:line="185" w:lineRule="auto"/>
              <w:jc w:val="center"/>
              <w:rPr>
                <w:rFonts w:ascii="仿宋" w:hAnsi="仿宋" w:eastAsia="仿宋" w:cs="仿宋"/>
                <w:sz w:val="19"/>
                <w:szCs w:val="19"/>
              </w:rPr>
            </w:pPr>
            <w:r>
              <w:rPr>
                <w:rFonts w:hint="eastAsia" w:ascii="仿宋" w:hAnsi="仿宋" w:eastAsia="仿宋" w:cs="仿宋"/>
                <w:sz w:val="19"/>
                <w:szCs w:val="19"/>
              </w:rPr>
              <w:t>2</w:t>
            </w:r>
          </w:p>
        </w:tc>
        <w:tc>
          <w:tcPr>
            <w:tcW w:w="803" w:type="dxa"/>
          </w:tcPr>
          <w:p w14:paraId="7612F6A8">
            <w:pPr>
              <w:spacing w:line="269" w:lineRule="auto"/>
              <w:jc w:val="center"/>
              <w:rPr>
                <w:rFonts w:ascii="Arial"/>
              </w:rPr>
            </w:pPr>
          </w:p>
          <w:p w14:paraId="5C9EE5CB">
            <w:pPr>
              <w:spacing w:line="269" w:lineRule="auto"/>
              <w:jc w:val="center"/>
              <w:rPr>
                <w:rFonts w:ascii="Arial"/>
              </w:rPr>
            </w:pPr>
          </w:p>
          <w:p w14:paraId="070FDC3C">
            <w:pPr>
              <w:spacing w:line="269" w:lineRule="auto"/>
              <w:jc w:val="center"/>
              <w:rPr>
                <w:rFonts w:ascii="Arial"/>
              </w:rPr>
            </w:pPr>
          </w:p>
          <w:p w14:paraId="03518F67">
            <w:pPr>
              <w:spacing w:before="62" w:line="184" w:lineRule="auto"/>
              <w:jc w:val="center"/>
              <w:rPr>
                <w:rFonts w:ascii="仿宋" w:hAnsi="仿宋" w:eastAsia="仿宋" w:cs="仿宋"/>
                <w:sz w:val="19"/>
                <w:szCs w:val="19"/>
              </w:rPr>
            </w:pPr>
            <w:r>
              <w:rPr>
                <w:rFonts w:hint="eastAsia" w:ascii="仿宋" w:hAnsi="仿宋" w:eastAsia="仿宋" w:cs="仿宋"/>
                <w:spacing w:val="3"/>
                <w:sz w:val="19"/>
                <w:szCs w:val="19"/>
              </w:rPr>
              <w:t>2</w:t>
            </w:r>
          </w:p>
        </w:tc>
      </w:tr>
      <w:tr w14:paraId="09848B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7" w:hRule="atLeast"/>
        </w:trPr>
        <w:tc>
          <w:tcPr>
            <w:tcW w:w="1703" w:type="dxa"/>
            <w:vMerge w:val="continue"/>
            <w:tcBorders>
              <w:top w:val="nil"/>
            </w:tcBorders>
          </w:tcPr>
          <w:p w14:paraId="3BC7BD36">
            <w:pPr>
              <w:rPr>
                <w:rFonts w:ascii="Arial"/>
              </w:rPr>
            </w:pPr>
          </w:p>
        </w:tc>
        <w:tc>
          <w:tcPr>
            <w:tcW w:w="1517" w:type="dxa"/>
          </w:tcPr>
          <w:p w14:paraId="5618ADA8">
            <w:pPr>
              <w:spacing w:before="214" w:line="315" w:lineRule="auto"/>
              <w:ind w:left="120" w:right="166" w:hanging="16"/>
              <w:jc w:val="center"/>
              <w:rPr>
                <w:rFonts w:ascii="仿宋" w:hAnsi="仿宋" w:eastAsia="仿宋" w:cs="仿宋"/>
                <w:sz w:val="19"/>
                <w:szCs w:val="19"/>
              </w:rPr>
            </w:pPr>
            <w:r>
              <w:rPr>
                <w:rFonts w:ascii="仿宋" w:hAnsi="仿宋" w:eastAsia="仿宋" w:cs="仿宋"/>
                <w:sz w:val="19"/>
                <w:szCs w:val="19"/>
              </w:rPr>
              <w:t>A</w:t>
            </w:r>
            <w:r>
              <w:rPr>
                <w:rFonts w:ascii="仿宋" w:hAnsi="仿宋" w:eastAsia="仿宋" w:cs="仿宋"/>
                <w:spacing w:val="2"/>
                <w:sz w:val="19"/>
                <w:szCs w:val="19"/>
              </w:rPr>
              <w:t xml:space="preserve">2 </w:t>
            </w:r>
            <w:r>
              <w:rPr>
                <w:rFonts w:hint="eastAsia" w:ascii="仿宋" w:hAnsi="仿宋" w:eastAsia="仿宋" w:cs="仿宋"/>
                <w:spacing w:val="2"/>
                <w:sz w:val="19"/>
                <w:szCs w:val="19"/>
              </w:rPr>
              <w:t>计划制定</w:t>
            </w:r>
            <w:r>
              <w:rPr>
                <w:rFonts w:ascii="仿宋" w:hAnsi="仿宋" w:eastAsia="仿宋" w:cs="仿宋"/>
                <w:spacing w:val="11"/>
                <w:sz w:val="19"/>
                <w:szCs w:val="19"/>
              </w:rPr>
              <w:t>(</w:t>
            </w:r>
            <w:r>
              <w:rPr>
                <w:rFonts w:hint="eastAsia" w:ascii="仿宋" w:hAnsi="仿宋" w:eastAsia="仿宋" w:cs="仿宋"/>
                <w:spacing w:val="11"/>
                <w:sz w:val="19"/>
                <w:szCs w:val="19"/>
              </w:rPr>
              <w:t>4</w:t>
            </w:r>
            <w:r>
              <w:rPr>
                <w:rFonts w:ascii="仿宋" w:hAnsi="仿宋" w:eastAsia="仿宋" w:cs="仿宋"/>
                <w:spacing w:val="11"/>
                <w:sz w:val="19"/>
                <w:szCs w:val="19"/>
              </w:rPr>
              <w:t xml:space="preserve"> 分</w:t>
            </w:r>
            <w:r>
              <w:rPr>
                <w:rFonts w:ascii="仿宋" w:hAnsi="仿宋" w:eastAsia="仿宋" w:cs="仿宋"/>
                <w:spacing w:val="10"/>
                <w:sz w:val="19"/>
                <w:szCs w:val="19"/>
              </w:rPr>
              <w:t>)</w:t>
            </w:r>
          </w:p>
        </w:tc>
        <w:tc>
          <w:tcPr>
            <w:tcW w:w="1500" w:type="dxa"/>
          </w:tcPr>
          <w:p w14:paraId="5901554E">
            <w:pPr>
              <w:spacing w:before="215" w:line="313" w:lineRule="auto"/>
              <w:ind w:left="119" w:right="104" w:hanging="14"/>
              <w:jc w:val="center"/>
              <w:rPr>
                <w:rFonts w:ascii="仿宋" w:hAnsi="仿宋" w:eastAsia="仿宋" w:cs="仿宋"/>
                <w:sz w:val="19"/>
                <w:szCs w:val="19"/>
              </w:rPr>
            </w:pPr>
            <w:r>
              <w:rPr>
                <w:rFonts w:ascii="仿宋" w:hAnsi="仿宋" w:eastAsia="仿宋" w:cs="仿宋"/>
                <w:sz w:val="19"/>
                <w:szCs w:val="19"/>
              </w:rPr>
              <w:t>A</w:t>
            </w:r>
            <w:r>
              <w:rPr>
                <w:rFonts w:ascii="仿宋" w:hAnsi="仿宋" w:eastAsia="仿宋" w:cs="仿宋"/>
                <w:spacing w:val="8"/>
                <w:sz w:val="19"/>
                <w:szCs w:val="19"/>
              </w:rPr>
              <w:t>2</w:t>
            </w:r>
            <w:r>
              <w:rPr>
                <w:rFonts w:ascii="仿宋" w:hAnsi="仿宋" w:eastAsia="仿宋" w:cs="仿宋"/>
                <w:spacing w:val="7"/>
                <w:sz w:val="19"/>
                <w:szCs w:val="19"/>
              </w:rPr>
              <w:t xml:space="preserve">1 </w:t>
            </w:r>
            <w:r>
              <w:rPr>
                <w:rFonts w:hint="eastAsia" w:ascii="仿宋" w:hAnsi="仿宋" w:eastAsia="仿宋" w:cs="仿宋"/>
                <w:spacing w:val="7"/>
                <w:sz w:val="19"/>
                <w:szCs w:val="19"/>
              </w:rPr>
              <w:t>工作计划制定健全性</w:t>
            </w:r>
          </w:p>
        </w:tc>
        <w:tc>
          <w:tcPr>
            <w:tcW w:w="1221" w:type="dxa"/>
          </w:tcPr>
          <w:p w14:paraId="7B70A379">
            <w:pPr>
              <w:spacing w:line="307" w:lineRule="auto"/>
              <w:rPr>
                <w:rFonts w:ascii="Arial"/>
              </w:rPr>
            </w:pPr>
          </w:p>
          <w:p w14:paraId="6D32423A">
            <w:pPr>
              <w:spacing w:before="62" w:line="228" w:lineRule="auto"/>
              <w:ind w:left="435"/>
              <w:rPr>
                <w:rFonts w:ascii="仿宋" w:hAnsi="仿宋" w:eastAsia="仿宋" w:cs="仿宋"/>
                <w:sz w:val="19"/>
                <w:szCs w:val="19"/>
              </w:rPr>
            </w:pPr>
            <w:r>
              <w:rPr>
                <w:rFonts w:hint="eastAsia" w:ascii="仿宋" w:hAnsi="仿宋" w:eastAsia="仿宋" w:cs="仿宋"/>
                <w:spacing w:val="-2"/>
                <w:sz w:val="19"/>
                <w:szCs w:val="19"/>
              </w:rPr>
              <w:t>健全</w:t>
            </w:r>
          </w:p>
        </w:tc>
        <w:tc>
          <w:tcPr>
            <w:tcW w:w="2549" w:type="dxa"/>
          </w:tcPr>
          <w:p w14:paraId="238815EA">
            <w:pPr>
              <w:spacing w:before="214" w:line="315" w:lineRule="auto"/>
              <w:ind w:left="119" w:right="107"/>
              <w:rPr>
                <w:rFonts w:ascii="仿宋" w:hAnsi="仿宋" w:eastAsia="仿宋" w:cs="仿宋"/>
                <w:sz w:val="19"/>
                <w:szCs w:val="19"/>
              </w:rPr>
            </w:pPr>
            <w:r>
              <w:rPr>
                <w:rFonts w:hint="eastAsia" w:ascii="仿宋" w:hAnsi="仿宋" w:eastAsia="仿宋" w:cs="仿宋"/>
                <w:sz w:val="19"/>
                <w:szCs w:val="19"/>
              </w:rPr>
              <w:t>考察部门是否制定工作计划，计划制定是否健全。</w:t>
            </w:r>
          </w:p>
        </w:tc>
        <w:tc>
          <w:tcPr>
            <w:tcW w:w="3788" w:type="dxa"/>
          </w:tcPr>
          <w:p w14:paraId="184ED0A2">
            <w:pPr>
              <w:spacing w:before="57" w:line="278" w:lineRule="auto"/>
              <w:ind w:left="115" w:right="106" w:firstLine="12"/>
              <w:rPr>
                <w:rFonts w:ascii="仿宋" w:hAnsi="仿宋" w:eastAsia="仿宋" w:cs="仿宋"/>
                <w:sz w:val="19"/>
                <w:szCs w:val="19"/>
              </w:rPr>
            </w:pPr>
            <w:r>
              <w:rPr>
                <w:rFonts w:hint="eastAsia" w:ascii="仿宋" w:hAnsi="仿宋" w:eastAsia="仿宋" w:cs="仿宋"/>
                <w:spacing w:val="6"/>
                <w:sz w:val="19"/>
                <w:szCs w:val="19"/>
              </w:rPr>
              <w:t>1.部门具有年度工作计划安排；</w:t>
            </w:r>
            <w:r>
              <w:rPr>
                <w:rFonts w:ascii="仿宋" w:hAnsi="仿宋" w:eastAsia="仿宋" w:cs="仿宋"/>
                <w:spacing w:val="16"/>
                <w:sz w:val="19"/>
                <w:szCs w:val="19"/>
              </w:rPr>
              <w:t>2</w:t>
            </w:r>
            <w:r>
              <w:rPr>
                <w:rFonts w:ascii="仿宋" w:hAnsi="仿宋" w:eastAsia="仿宋" w:cs="仿宋"/>
                <w:spacing w:val="8"/>
                <w:sz w:val="19"/>
                <w:szCs w:val="19"/>
              </w:rPr>
              <w:t>.</w:t>
            </w:r>
            <w:r>
              <w:rPr>
                <w:rFonts w:hint="eastAsia" w:ascii="仿宋" w:hAnsi="仿宋" w:eastAsia="仿宋" w:cs="仿宋"/>
                <w:spacing w:val="8"/>
                <w:sz w:val="19"/>
                <w:szCs w:val="19"/>
              </w:rPr>
              <w:t>工作计划安排是否有</w:t>
            </w:r>
            <w:r>
              <w:rPr>
                <w:rFonts w:ascii="仿宋" w:hAnsi="仿宋" w:eastAsia="仿宋" w:cs="仿宋"/>
                <w:spacing w:val="8"/>
                <w:sz w:val="19"/>
                <w:szCs w:val="19"/>
              </w:rPr>
              <w:t>实施内容、时间</w:t>
            </w:r>
            <w:r>
              <w:rPr>
                <w:rFonts w:ascii="仿宋" w:hAnsi="仿宋" w:eastAsia="仿宋" w:cs="仿宋"/>
                <w:spacing w:val="10"/>
                <w:sz w:val="19"/>
                <w:szCs w:val="19"/>
              </w:rPr>
              <w:t>安</w:t>
            </w:r>
            <w:r>
              <w:rPr>
                <w:rFonts w:ascii="仿宋" w:hAnsi="仿宋" w:eastAsia="仿宋" w:cs="仿宋"/>
                <w:spacing w:val="7"/>
                <w:sz w:val="19"/>
                <w:szCs w:val="19"/>
              </w:rPr>
              <w:t>排有明确安排。</w:t>
            </w:r>
          </w:p>
        </w:tc>
        <w:tc>
          <w:tcPr>
            <w:tcW w:w="796" w:type="dxa"/>
          </w:tcPr>
          <w:p w14:paraId="5533965A">
            <w:pPr>
              <w:spacing w:line="342" w:lineRule="auto"/>
              <w:jc w:val="center"/>
              <w:rPr>
                <w:rFonts w:ascii="Arial"/>
              </w:rPr>
            </w:pPr>
          </w:p>
          <w:p w14:paraId="5EEA303F">
            <w:pPr>
              <w:spacing w:before="62" w:line="185" w:lineRule="auto"/>
              <w:jc w:val="center"/>
              <w:rPr>
                <w:rFonts w:ascii="仿宋" w:hAnsi="仿宋" w:eastAsia="仿宋" w:cs="仿宋"/>
                <w:sz w:val="19"/>
                <w:szCs w:val="19"/>
              </w:rPr>
            </w:pPr>
            <w:r>
              <w:rPr>
                <w:rFonts w:hint="eastAsia" w:ascii="仿宋" w:hAnsi="仿宋" w:eastAsia="仿宋" w:cs="仿宋"/>
                <w:sz w:val="19"/>
                <w:szCs w:val="19"/>
              </w:rPr>
              <w:t>2</w:t>
            </w:r>
          </w:p>
        </w:tc>
        <w:tc>
          <w:tcPr>
            <w:tcW w:w="803" w:type="dxa"/>
          </w:tcPr>
          <w:p w14:paraId="17A8A78F">
            <w:pPr>
              <w:spacing w:line="342" w:lineRule="auto"/>
              <w:jc w:val="center"/>
              <w:rPr>
                <w:rFonts w:ascii="Arial"/>
              </w:rPr>
            </w:pPr>
          </w:p>
          <w:p w14:paraId="49FFF219">
            <w:pPr>
              <w:spacing w:before="62" w:line="185" w:lineRule="auto"/>
              <w:jc w:val="center"/>
              <w:rPr>
                <w:rFonts w:ascii="仿宋" w:hAnsi="仿宋" w:eastAsia="仿宋" w:cs="仿宋"/>
                <w:sz w:val="19"/>
                <w:szCs w:val="19"/>
              </w:rPr>
            </w:pPr>
            <w:r>
              <w:rPr>
                <w:rFonts w:hint="eastAsia" w:ascii="仿宋" w:hAnsi="仿宋" w:eastAsia="仿宋" w:cs="仿宋"/>
                <w:sz w:val="19"/>
                <w:szCs w:val="19"/>
              </w:rPr>
              <w:t>2</w:t>
            </w:r>
          </w:p>
        </w:tc>
      </w:tr>
    </w:tbl>
    <w:p w14:paraId="425DE983">
      <w:pPr>
        <w:sectPr>
          <w:pgSz w:w="16839" w:h="11906"/>
          <w:pgMar w:top="1012" w:right="1330" w:bottom="400" w:left="1327" w:header="0" w:footer="0" w:gutter="0"/>
          <w:cols w:space="720" w:num="1"/>
        </w:sectPr>
      </w:pPr>
    </w:p>
    <w:p w14:paraId="1362DE39"/>
    <w:tbl>
      <w:tblPr>
        <w:tblStyle w:val="10"/>
        <w:tblW w:w="139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13"/>
        <w:gridCol w:w="1526"/>
        <w:gridCol w:w="1507"/>
        <w:gridCol w:w="1228"/>
        <w:gridCol w:w="2563"/>
        <w:gridCol w:w="3808"/>
        <w:gridCol w:w="801"/>
        <w:gridCol w:w="809"/>
      </w:tblGrid>
      <w:tr w14:paraId="2EACC3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4746" w:type="dxa"/>
            <w:gridSpan w:val="3"/>
          </w:tcPr>
          <w:p w14:paraId="1542016A">
            <w:pPr>
              <w:spacing w:before="59" w:line="229" w:lineRule="auto"/>
              <w:ind w:left="2176"/>
              <w:rPr>
                <w:rFonts w:ascii="黑体" w:hAnsi="黑体" w:eastAsia="黑体" w:cs="黑体"/>
                <w:sz w:val="19"/>
                <w:szCs w:val="19"/>
              </w:rPr>
            </w:pPr>
            <w:r>
              <w:rPr>
                <w:rFonts w:ascii="黑体" w:hAnsi="黑体" w:eastAsia="黑体" w:cs="黑体"/>
                <w:spacing w:val="7"/>
                <w:sz w:val="19"/>
                <w:szCs w:val="19"/>
              </w:rPr>
              <w:t>指</w:t>
            </w:r>
            <w:r>
              <w:rPr>
                <w:rFonts w:ascii="黑体" w:hAnsi="黑体" w:eastAsia="黑体" w:cs="黑体"/>
                <w:spacing w:val="6"/>
                <w:sz w:val="19"/>
                <w:szCs w:val="19"/>
              </w:rPr>
              <w:t>标</w:t>
            </w:r>
          </w:p>
        </w:tc>
        <w:tc>
          <w:tcPr>
            <w:tcW w:w="1228" w:type="dxa"/>
            <w:vMerge w:val="restart"/>
            <w:tcBorders>
              <w:bottom w:val="nil"/>
            </w:tcBorders>
          </w:tcPr>
          <w:p w14:paraId="3AE7A394">
            <w:pPr>
              <w:spacing w:before="234" w:line="230" w:lineRule="auto"/>
              <w:ind w:left="313"/>
              <w:rPr>
                <w:rFonts w:ascii="黑体" w:hAnsi="黑体" w:eastAsia="黑体" w:cs="黑体"/>
                <w:sz w:val="19"/>
                <w:szCs w:val="19"/>
              </w:rPr>
            </w:pPr>
            <w:r>
              <w:rPr>
                <w:rFonts w:ascii="黑体" w:hAnsi="黑体" w:eastAsia="黑体" w:cs="黑体"/>
                <w:spacing w:val="9"/>
                <w:sz w:val="19"/>
                <w:szCs w:val="19"/>
              </w:rPr>
              <w:t>标</w:t>
            </w:r>
            <w:r>
              <w:rPr>
                <w:rFonts w:ascii="黑体" w:hAnsi="黑体" w:eastAsia="黑体" w:cs="黑体"/>
                <w:spacing w:val="8"/>
                <w:sz w:val="19"/>
                <w:szCs w:val="19"/>
              </w:rPr>
              <w:t>准值</w:t>
            </w:r>
          </w:p>
        </w:tc>
        <w:tc>
          <w:tcPr>
            <w:tcW w:w="2563" w:type="dxa"/>
            <w:vMerge w:val="restart"/>
            <w:tcBorders>
              <w:bottom w:val="nil"/>
            </w:tcBorders>
          </w:tcPr>
          <w:p w14:paraId="27C1F01B">
            <w:pPr>
              <w:spacing w:before="234" w:line="228" w:lineRule="auto"/>
              <w:ind w:left="886"/>
              <w:rPr>
                <w:rFonts w:ascii="黑体" w:hAnsi="黑体" w:eastAsia="黑体" w:cs="黑体"/>
                <w:sz w:val="19"/>
                <w:szCs w:val="19"/>
              </w:rPr>
            </w:pPr>
            <w:r>
              <w:rPr>
                <w:rFonts w:ascii="黑体" w:hAnsi="黑体" w:eastAsia="黑体" w:cs="黑体"/>
                <w:spacing w:val="8"/>
                <w:sz w:val="19"/>
                <w:szCs w:val="19"/>
              </w:rPr>
              <w:t>指标解释</w:t>
            </w:r>
          </w:p>
        </w:tc>
        <w:tc>
          <w:tcPr>
            <w:tcW w:w="3808" w:type="dxa"/>
            <w:vMerge w:val="restart"/>
            <w:tcBorders>
              <w:bottom w:val="nil"/>
            </w:tcBorders>
          </w:tcPr>
          <w:p w14:paraId="015D3A56">
            <w:pPr>
              <w:spacing w:before="234" w:line="228" w:lineRule="auto"/>
              <w:ind w:left="1510"/>
              <w:rPr>
                <w:rFonts w:ascii="黑体" w:hAnsi="黑体" w:eastAsia="黑体" w:cs="黑体"/>
                <w:sz w:val="19"/>
                <w:szCs w:val="19"/>
              </w:rPr>
            </w:pPr>
            <w:r>
              <w:rPr>
                <w:rFonts w:ascii="黑体" w:hAnsi="黑体" w:eastAsia="黑体" w:cs="黑体"/>
                <w:spacing w:val="8"/>
                <w:sz w:val="19"/>
                <w:szCs w:val="19"/>
              </w:rPr>
              <w:t>评价标准</w:t>
            </w:r>
          </w:p>
        </w:tc>
        <w:tc>
          <w:tcPr>
            <w:tcW w:w="801" w:type="dxa"/>
            <w:vMerge w:val="restart"/>
            <w:tcBorders>
              <w:bottom w:val="nil"/>
            </w:tcBorders>
          </w:tcPr>
          <w:p w14:paraId="1FA14B84">
            <w:pPr>
              <w:spacing w:before="234" w:line="230" w:lineRule="auto"/>
              <w:ind w:left="207"/>
              <w:rPr>
                <w:rFonts w:ascii="黑体" w:hAnsi="黑体" w:eastAsia="黑体" w:cs="黑体"/>
                <w:sz w:val="19"/>
                <w:szCs w:val="19"/>
              </w:rPr>
            </w:pPr>
            <w:r>
              <w:rPr>
                <w:rFonts w:ascii="黑体" w:hAnsi="黑体" w:eastAsia="黑体" w:cs="黑体"/>
                <w:spacing w:val="7"/>
                <w:sz w:val="19"/>
                <w:szCs w:val="19"/>
              </w:rPr>
              <w:t>权重</w:t>
            </w:r>
          </w:p>
        </w:tc>
        <w:tc>
          <w:tcPr>
            <w:tcW w:w="809" w:type="dxa"/>
            <w:vMerge w:val="restart"/>
            <w:tcBorders>
              <w:bottom w:val="nil"/>
            </w:tcBorders>
          </w:tcPr>
          <w:p w14:paraId="61B9CB78">
            <w:pPr>
              <w:spacing w:before="234" w:line="228" w:lineRule="auto"/>
              <w:ind w:left="210"/>
              <w:rPr>
                <w:rFonts w:ascii="黑体" w:hAnsi="黑体" w:eastAsia="黑体" w:cs="黑体"/>
                <w:sz w:val="19"/>
                <w:szCs w:val="19"/>
              </w:rPr>
            </w:pPr>
            <w:r>
              <w:rPr>
                <w:rFonts w:ascii="黑体" w:hAnsi="黑体" w:eastAsia="黑体" w:cs="黑体"/>
                <w:spacing w:val="6"/>
                <w:sz w:val="19"/>
                <w:szCs w:val="19"/>
              </w:rPr>
              <w:t>得分</w:t>
            </w:r>
          </w:p>
        </w:tc>
      </w:tr>
      <w:tr w14:paraId="60CC33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1713" w:type="dxa"/>
          </w:tcPr>
          <w:p w14:paraId="7112A885">
            <w:pPr>
              <w:spacing w:before="69" w:line="227" w:lineRule="auto"/>
              <w:ind w:left="464"/>
              <w:rPr>
                <w:rFonts w:ascii="黑体" w:hAnsi="黑体" w:eastAsia="黑体" w:cs="黑体"/>
                <w:sz w:val="19"/>
                <w:szCs w:val="19"/>
              </w:rPr>
            </w:pPr>
            <w:r>
              <w:rPr>
                <w:rFonts w:ascii="黑体" w:hAnsi="黑体" w:eastAsia="黑体" w:cs="黑体"/>
                <w:spacing w:val="7"/>
                <w:sz w:val="19"/>
                <w:szCs w:val="19"/>
              </w:rPr>
              <w:t>一级指标</w:t>
            </w:r>
          </w:p>
        </w:tc>
        <w:tc>
          <w:tcPr>
            <w:tcW w:w="1526" w:type="dxa"/>
          </w:tcPr>
          <w:p w14:paraId="5B4A95F7">
            <w:pPr>
              <w:spacing w:before="69" w:line="227" w:lineRule="auto"/>
              <w:ind w:left="369"/>
              <w:rPr>
                <w:rFonts w:ascii="黑体" w:hAnsi="黑体" w:eastAsia="黑体" w:cs="黑体"/>
                <w:sz w:val="19"/>
                <w:szCs w:val="19"/>
              </w:rPr>
            </w:pPr>
            <w:r>
              <w:rPr>
                <w:rFonts w:ascii="黑体" w:hAnsi="黑体" w:eastAsia="黑体" w:cs="黑体"/>
                <w:spacing w:val="7"/>
                <w:sz w:val="19"/>
                <w:szCs w:val="19"/>
              </w:rPr>
              <w:t>二级指标</w:t>
            </w:r>
          </w:p>
        </w:tc>
        <w:tc>
          <w:tcPr>
            <w:tcW w:w="1507" w:type="dxa"/>
          </w:tcPr>
          <w:p w14:paraId="69628973">
            <w:pPr>
              <w:spacing w:before="69" w:line="227" w:lineRule="auto"/>
              <w:ind w:left="363"/>
              <w:rPr>
                <w:rFonts w:ascii="黑体" w:hAnsi="黑体" w:eastAsia="黑体" w:cs="黑体"/>
                <w:sz w:val="19"/>
                <w:szCs w:val="19"/>
              </w:rPr>
            </w:pPr>
            <w:r>
              <w:rPr>
                <w:rFonts w:ascii="黑体" w:hAnsi="黑体" w:eastAsia="黑体" w:cs="黑体"/>
                <w:spacing w:val="7"/>
                <w:sz w:val="19"/>
                <w:szCs w:val="19"/>
              </w:rPr>
              <w:t>三级指</w:t>
            </w:r>
            <w:r>
              <w:rPr>
                <w:rFonts w:ascii="黑体" w:hAnsi="黑体" w:eastAsia="黑体" w:cs="黑体"/>
                <w:spacing w:val="6"/>
                <w:sz w:val="19"/>
                <w:szCs w:val="19"/>
              </w:rPr>
              <w:t>标</w:t>
            </w:r>
          </w:p>
        </w:tc>
        <w:tc>
          <w:tcPr>
            <w:tcW w:w="1228" w:type="dxa"/>
            <w:vMerge w:val="continue"/>
            <w:tcBorders>
              <w:top w:val="nil"/>
            </w:tcBorders>
          </w:tcPr>
          <w:p w14:paraId="76E1F99A">
            <w:pPr>
              <w:rPr>
                <w:rFonts w:ascii="Arial"/>
              </w:rPr>
            </w:pPr>
          </w:p>
        </w:tc>
        <w:tc>
          <w:tcPr>
            <w:tcW w:w="2563" w:type="dxa"/>
            <w:vMerge w:val="continue"/>
            <w:tcBorders>
              <w:top w:val="nil"/>
            </w:tcBorders>
          </w:tcPr>
          <w:p w14:paraId="1284F1E8">
            <w:pPr>
              <w:rPr>
                <w:rFonts w:ascii="Arial"/>
              </w:rPr>
            </w:pPr>
          </w:p>
        </w:tc>
        <w:tc>
          <w:tcPr>
            <w:tcW w:w="3808" w:type="dxa"/>
            <w:vMerge w:val="continue"/>
            <w:tcBorders>
              <w:top w:val="nil"/>
            </w:tcBorders>
          </w:tcPr>
          <w:p w14:paraId="5D6849C3">
            <w:pPr>
              <w:rPr>
                <w:rFonts w:ascii="Arial"/>
              </w:rPr>
            </w:pPr>
          </w:p>
        </w:tc>
        <w:tc>
          <w:tcPr>
            <w:tcW w:w="801" w:type="dxa"/>
            <w:vMerge w:val="continue"/>
            <w:tcBorders>
              <w:top w:val="nil"/>
            </w:tcBorders>
          </w:tcPr>
          <w:p w14:paraId="51F9E79E">
            <w:pPr>
              <w:rPr>
                <w:rFonts w:ascii="Arial"/>
              </w:rPr>
            </w:pPr>
          </w:p>
        </w:tc>
        <w:tc>
          <w:tcPr>
            <w:tcW w:w="809" w:type="dxa"/>
            <w:vMerge w:val="continue"/>
            <w:tcBorders>
              <w:top w:val="nil"/>
            </w:tcBorders>
          </w:tcPr>
          <w:p w14:paraId="5CC99317">
            <w:pPr>
              <w:rPr>
                <w:rFonts w:ascii="Arial"/>
              </w:rPr>
            </w:pPr>
          </w:p>
        </w:tc>
      </w:tr>
      <w:tr w14:paraId="07A1A0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1713" w:type="dxa"/>
            <w:vMerge w:val="restart"/>
            <w:tcBorders>
              <w:bottom w:val="nil"/>
            </w:tcBorders>
          </w:tcPr>
          <w:p w14:paraId="4DCE1E11">
            <w:pPr>
              <w:rPr>
                <w:rFonts w:ascii="Arial"/>
              </w:rPr>
            </w:pPr>
          </w:p>
        </w:tc>
        <w:tc>
          <w:tcPr>
            <w:tcW w:w="1526" w:type="dxa"/>
            <w:vMerge w:val="restart"/>
            <w:tcBorders>
              <w:bottom w:val="nil"/>
            </w:tcBorders>
          </w:tcPr>
          <w:p w14:paraId="2E57FFA9">
            <w:pPr>
              <w:jc w:val="center"/>
              <w:rPr>
                <w:rFonts w:ascii="Arial"/>
              </w:rPr>
            </w:pPr>
          </w:p>
        </w:tc>
        <w:tc>
          <w:tcPr>
            <w:tcW w:w="1507" w:type="dxa"/>
          </w:tcPr>
          <w:p w14:paraId="6BDF59FB">
            <w:pPr>
              <w:jc w:val="center"/>
              <w:rPr>
                <w:rFonts w:ascii="Arial"/>
              </w:rPr>
            </w:pPr>
          </w:p>
        </w:tc>
        <w:tc>
          <w:tcPr>
            <w:tcW w:w="1228" w:type="dxa"/>
          </w:tcPr>
          <w:p w14:paraId="72CA7F28">
            <w:pPr>
              <w:jc w:val="center"/>
              <w:rPr>
                <w:rFonts w:ascii="Arial"/>
              </w:rPr>
            </w:pPr>
          </w:p>
        </w:tc>
        <w:tc>
          <w:tcPr>
            <w:tcW w:w="2563" w:type="dxa"/>
          </w:tcPr>
          <w:p w14:paraId="7B1EA276">
            <w:pPr>
              <w:rPr>
                <w:rFonts w:ascii="Arial"/>
              </w:rPr>
            </w:pPr>
          </w:p>
        </w:tc>
        <w:tc>
          <w:tcPr>
            <w:tcW w:w="3808" w:type="dxa"/>
          </w:tcPr>
          <w:p w14:paraId="5ED2DF9C">
            <w:pPr>
              <w:spacing w:before="55" w:line="314" w:lineRule="auto"/>
              <w:ind w:left="126" w:right="103" w:firstLine="13"/>
              <w:rPr>
                <w:rFonts w:ascii="仿宋" w:hAnsi="仿宋" w:eastAsia="仿宋" w:cs="仿宋"/>
                <w:sz w:val="19"/>
                <w:szCs w:val="19"/>
              </w:rPr>
            </w:pPr>
            <w:r>
              <w:rPr>
                <w:rFonts w:ascii="仿宋" w:hAnsi="仿宋" w:eastAsia="仿宋" w:cs="仿宋"/>
                <w:spacing w:val="-8"/>
                <w:sz w:val="19"/>
                <w:szCs w:val="19"/>
              </w:rPr>
              <w:t>以</w:t>
            </w:r>
            <w:r>
              <w:rPr>
                <w:rFonts w:ascii="仿宋" w:hAnsi="仿宋" w:eastAsia="仿宋" w:cs="仿宋"/>
                <w:spacing w:val="-6"/>
                <w:sz w:val="19"/>
                <w:szCs w:val="19"/>
              </w:rPr>
              <w:t>上 2 项各占 1/2 权重分， 符合得对应权</w:t>
            </w:r>
            <w:r>
              <w:rPr>
                <w:rFonts w:ascii="仿宋" w:hAnsi="仿宋" w:eastAsia="仿宋" w:cs="仿宋"/>
                <w:spacing w:val="5"/>
                <w:sz w:val="19"/>
                <w:szCs w:val="19"/>
              </w:rPr>
              <w:t>重分，否则不得分</w:t>
            </w:r>
            <w:r>
              <w:rPr>
                <w:rFonts w:ascii="仿宋" w:hAnsi="仿宋" w:eastAsia="仿宋" w:cs="仿宋"/>
                <w:spacing w:val="4"/>
                <w:sz w:val="19"/>
                <w:szCs w:val="19"/>
              </w:rPr>
              <w:t>。</w:t>
            </w:r>
          </w:p>
        </w:tc>
        <w:tc>
          <w:tcPr>
            <w:tcW w:w="801" w:type="dxa"/>
          </w:tcPr>
          <w:p w14:paraId="16E15A3E">
            <w:pPr>
              <w:jc w:val="center"/>
              <w:rPr>
                <w:rFonts w:ascii="Arial"/>
              </w:rPr>
            </w:pPr>
          </w:p>
        </w:tc>
        <w:tc>
          <w:tcPr>
            <w:tcW w:w="809" w:type="dxa"/>
          </w:tcPr>
          <w:p w14:paraId="43C791A2">
            <w:pPr>
              <w:jc w:val="center"/>
              <w:rPr>
                <w:rFonts w:ascii="Arial"/>
              </w:rPr>
            </w:pPr>
          </w:p>
        </w:tc>
      </w:tr>
      <w:tr w14:paraId="73D8EE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5" w:hRule="atLeast"/>
        </w:trPr>
        <w:tc>
          <w:tcPr>
            <w:tcW w:w="1713" w:type="dxa"/>
            <w:vMerge w:val="continue"/>
            <w:tcBorders>
              <w:top w:val="nil"/>
              <w:bottom w:val="nil"/>
            </w:tcBorders>
          </w:tcPr>
          <w:p w14:paraId="55981F76">
            <w:pPr>
              <w:rPr>
                <w:rFonts w:ascii="Arial"/>
              </w:rPr>
            </w:pPr>
          </w:p>
        </w:tc>
        <w:tc>
          <w:tcPr>
            <w:tcW w:w="1526" w:type="dxa"/>
            <w:vMerge w:val="continue"/>
            <w:tcBorders>
              <w:top w:val="nil"/>
            </w:tcBorders>
          </w:tcPr>
          <w:p w14:paraId="1F1DDCEF">
            <w:pPr>
              <w:jc w:val="center"/>
              <w:rPr>
                <w:rFonts w:ascii="Arial"/>
              </w:rPr>
            </w:pPr>
          </w:p>
        </w:tc>
        <w:tc>
          <w:tcPr>
            <w:tcW w:w="1507" w:type="dxa"/>
          </w:tcPr>
          <w:p w14:paraId="3A1B893F">
            <w:pPr>
              <w:spacing w:before="214" w:line="310" w:lineRule="auto"/>
              <w:ind w:left="119" w:right="104" w:hanging="14"/>
              <w:jc w:val="center"/>
              <w:rPr>
                <w:rFonts w:ascii="仿宋" w:hAnsi="仿宋" w:eastAsia="仿宋" w:cs="仿宋"/>
                <w:sz w:val="19"/>
                <w:szCs w:val="19"/>
              </w:rPr>
            </w:pPr>
            <w:r>
              <w:rPr>
                <w:rFonts w:ascii="仿宋" w:hAnsi="仿宋" w:eastAsia="仿宋" w:cs="仿宋"/>
                <w:sz w:val="19"/>
                <w:szCs w:val="19"/>
              </w:rPr>
              <w:t>A</w:t>
            </w:r>
            <w:r>
              <w:rPr>
                <w:rFonts w:ascii="仿宋" w:hAnsi="仿宋" w:eastAsia="仿宋" w:cs="仿宋"/>
                <w:spacing w:val="8"/>
                <w:sz w:val="19"/>
                <w:szCs w:val="19"/>
              </w:rPr>
              <w:t>2</w:t>
            </w:r>
            <w:r>
              <w:rPr>
                <w:rFonts w:ascii="仿宋" w:hAnsi="仿宋" w:eastAsia="仿宋" w:cs="仿宋"/>
                <w:spacing w:val="7"/>
                <w:sz w:val="19"/>
                <w:szCs w:val="19"/>
              </w:rPr>
              <w:t>2 中长期</w:t>
            </w:r>
            <w:r>
              <w:rPr>
                <w:rFonts w:hint="eastAsia" w:ascii="仿宋" w:hAnsi="仿宋" w:eastAsia="仿宋" w:cs="仿宋"/>
                <w:spacing w:val="7"/>
                <w:sz w:val="19"/>
                <w:szCs w:val="19"/>
              </w:rPr>
              <w:t>规划制定健全性</w:t>
            </w:r>
          </w:p>
        </w:tc>
        <w:tc>
          <w:tcPr>
            <w:tcW w:w="1228" w:type="dxa"/>
          </w:tcPr>
          <w:p w14:paraId="5F733E29">
            <w:pPr>
              <w:spacing w:line="461" w:lineRule="auto"/>
              <w:jc w:val="center"/>
              <w:rPr>
                <w:rFonts w:ascii="Arial"/>
              </w:rPr>
            </w:pPr>
          </w:p>
          <w:p w14:paraId="44F839E7">
            <w:pPr>
              <w:spacing w:before="62" w:line="235" w:lineRule="auto"/>
              <w:ind w:left="440"/>
              <w:rPr>
                <w:rFonts w:ascii="仿宋" w:hAnsi="仿宋" w:eastAsia="仿宋" w:cs="仿宋"/>
                <w:sz w:val="19"/>
                <w:szCs w:val="19"/>
              </w:rPr>
            </w:pPr>
            <w:r>
              <w:rPr>
                <w:rFonts w:hint="eastAsia" w:ascii="仿宋" w:hAnsi="仿宋" w:eastAsia="仿宋" w:cs="仿宋"/>
                <w:spacing w:val="-3"/>
                <w:sz w:val="19"/>
                <w:szCs w:val="19"/>
              </w:rPr>
              <w:t>健全</w:t>
            </w:r>
          </w:p>
        </w:tc>
        <w:tc>
          <w:tcPr>
            <w:tcW w:w="2563" w:type="dxa"/>
          </w:tcPr>
          <w:p w14:paraId="43515285">
            <w:pPr>
              <w:spacing w:before="58" w:line="284" w:lineRule="auto"/>
              <w:ind w:left="119" w:right="83"/>
              <w:jc w:val="left"/>
              <w:rPr>
                <w:rFonts w:ascii="仿宋" w:hAnsi="仿宋" w:eastAsia="仿宋" w:cs="仿宋"/>
                <w:sz w:val="19"/>
                <w:szCs w:val="19"/>
              </w:rPr>
            </w:pPr>
            <w:r>
              <w:rPr>
                <w:rFonts w:ascii="仿宋" w:hAnsi="仿宋" w:eastAsia="仿宋" w:cs="仿宋"/>
                <w:spacing w:val="22"/>
                <w:sz w:val="19"/>
                <w:szCs w:val="19"/>
              </w:rPr>
              <w:t>考察部门的中长期规划</w:t>
            </w:r>
            <w:r>
              <w:rPr>
                <w:rFonts w:ascii="仿宋" w:hAnsi="仿宋" w:eastAsia="仿宋" w:cs="仿宋"/>
                <w:spacing w:val="20"/>
                <w:sz w:val="19"/>
                <w:szCs w:val="19"/>
              </w:rPr>
              <w:t>是</w:t>
            </w:r>
            <w:r>
              <w:rPr>
                <w:rFonts w:ascii="仿宋" w:hAnsi="仿宋" w:eastAsia="仿宋" w:cs="仿宋"/>
                <w:spacing w:val="8"/>
                <w:sz w:val="19"/>
                <w:szCs w:val="19"/>
              </w:rPr>
              <w:t>否</w:t>
            </w:r>
            <w:r>
              <w:rPr>
                <w:rFonts w:ascii="仿宋" w:hAnsi="仿宋" w:eastAsia="仿宋" w:cs="仿宋"/>
                <w:spacing w:val="5"/>
                <w:sz w:val="19"/>
                <w:szCs w:val="19"/>
              </w:rPr>
              <w:t>与</w:t>
            </w:r>
            <w:r>
              <w:rPr>
                <w:rFonts w:ascii="仿宋" w:hAnsi="仿宋" w:eastAsia="仿宋" w:cs="仿宋"/>
                <w:spacing w:val="4"/>
                <w:sz w:val="19"/>
                <w:szCs w:val="19"/>
              </w:rPr>
              <w:t>其部门职能相匹配，中</w:t>
            </w:r>
            <w:r>
              <w:rPr>
                <w:rFonts w:ascii="仿宋" w:hAnsi="仿宋" w:eastAsia="仿宋" w:cs="仿宋"/>
                <w:spacing w:val="22"/>
                <w:sz w:val="19"/>
                <w:szCs w:val="19"/>
              </w:rPr>
              <w:t>长期规划</w:t>
            </w:r>
            <w:r>
              <w:rPr>
                <w:rFonts w:hint="eastAsia" w:ascii="仿宋" w:hAnsi="仿宋" w:eastAsia="仿宋" w:cs="仿宋"/>
                <w:spacing w:val="22"/>
                <w:sz w:val="19"/>
                <w:szCs w:val="19"/>
              </w:rPr>
              <w:t>任务是否</w:t>
            </w:r>
            <w:r>
              <w:rPr>
                <w:rFonts w:ascii="仿宋" w:hAnsi="仿宋" w:eastAsia="仿宋" w:cs="仿宋"/>
                <w:spacing w:val="22"/>
                <w:sz w:val="19"/>
                <w:szCs w:val="19"/>
              </w:rPr>
              <w:t>能对</w:t>
            </w:r>
            <w:r>
              <w:rPr>
                <w:rFonts w:ascii="仿宋" w:hAnsi="仿宋" w:eastAsia="仿宋" w:cs="仿宋"/>
                <w:spacing w:val="21"/>
                <w:sz w:val="19"/>
                <w:szCs w:val="19"/>
              </w:rPr>
              <w:t>应</w:t>
            </w:r>
            <w:r>
              <w:rPr>
                <w:rFonts w:ascii="仿宋" w:hAnsi="仿宋" w:eastAsia="仿宋" w:cs="仿宋"/>
                <w:spacing w:val="8"/>
                <w:sz w:val="19"/>
                <w:szCs w:val="19"/>
              </w:rPr>
              <w:t>部</w:t>
            </w:r>
            <w:r>
              <w:rPr>
                <w:rFonts w:ascii="仿宋" w:hAnsi="仿宋" w:eastAsia="仿宋" w:cs="仿宋"/>
                <w:spacing w:val="6"/>
                <w:sz w:val="19"/>
                <w:szCs w:val="19"/>
              </w:rPr>
              <w:t>门职能，明确责任到人。</w:t>
            </w:r>
          </w:p>
        </w:tc>
        <w:tc>
          <w:tcPr>
            <w:tcW w:w="3808" w:type="dxa"/>
          </w:tcPr>
          <w:p w14:paraId="66C8A981">
            <w:pPr>
              <w:spacing w:before="213" w:line="311" w:lineRule="auto"/>
              <w:ind w:left="122" w:right="104" w:firstLine="23"/>
              <w:rPr>
                <w:rFonts w:ascii="仿宋" w:hAnsi="仿宋" w:eastAsia="仿宋" w:cs="仿宋"/>
                <w:sz w:val="19"/>
                <w:szCs w:val="19"/>
              </w:rPr>
            </w:pPr>
            <w:r>
              <w:rPr>
                <w:rFonts w:ascii="仿宋" w:hAnsi="仿宋" w:eastAsia="仿宋" w:cs="仿宋"/>
                <w:spacing w:val="13"/>
                <w:sz w:val="19"/>
                <w:szCs w:val="19"/>
              </w:rPr>
              <w:t>中</w:t>
            </w:r>
            <w:r>
              <w:rPr>
                <w:rFonts w:ascii="仿宋" w:hAnsi="仿宋" w:eastAsia="仿宋" w:cs="仿宋"/>
                <w:spacing w:val="7"/>
                <w:sz w:val="19"/>
                <w:szCs w:val="19"/>
              </w:rPr>
              <w:t>长期规划均符合部门职能。符合条件得</w:t>
            </w:r>
            <w:r>
              <w:rPr>
                <w:rFonts w:ascii="仿宋" w:hAnsi="仿宋" w:eastAsia="仿宋" w:cs="仿宋"/>
                <w:spacing w:val="10"/>
                <w:sz w:val="19"/>
                <w:szCs w:val="19"/>
              </w:rPr>
              <w:t>分，</w:t>
            </w:r>
            <w:r>
              <w:rPr>
                <w:rFonts w:ascii="仿宋" w:hAnsi="仿宋" w:eastAsia="仿宋" w:cs="仿宋"/>
                <w:spacing w:val="6"/>
                <w:sz w:val="19"/>
                <w:szCs w:val="19"/>
              </w:rPr>
              <w:t>否</w:t>
            </w:r>
            <w:r>
              <w:rPr>
                <w:rFonts w:ascii="仿宋" w:hAnsi="仿宋" w:eastAsia="仿宋" w:cs="仿宋"/>
                <w:spacing w:val="5"/>
                <w:sz w:val="19"/>
                <w:szCs w:val="19"/>
              </w:rPr>
              <w:t>则每有一项不符合扣 10%权重分，</w:t>
            </w:r>
            <w:r>
              <w:rPr>
                <w:rFonts w:ascii="仿宋" w:hAnsi="仿宋" w:eastAsia="仿宋" w:cs="仿宋"/>
                <w:spacing w:val="7"/>
                <w:sz w:val="19"/>
                <w:szCs w:val="19"/>
              </w:rPr>
              <w:t>扣</w:t>
            </w:r>
            <w:r>
              <w:rPr>
                <w:rFonts w:ascii="仿宋" w:hAnsi="仿宋" w:eastAsia="仿宋" w:cs="仿宋"/>
                <w:spacing w:val="4"/>
                <w:sz w:val="19"/>
                <w:szCs w:val="19"/>
              </w:rPr>
              <w:t>完为止。</w:t>
            </w:r>
          </w:p>
        </w:tc>
        <w:tc>
          <w:tcPr>
            <w:tcW w:w="801" w:type="dxa"/>
          </w:tcPr>
          <w:p w14:paraId="5F140A1B">
            <w:pPr>
              <w:spacing w:line="249" w:lineRule="auto"/>
              <w:jc w:val="center"/>
              <w:rPr>
                <w:rFonts w:ascii="Arial"/>
              </w:rPr>
            </w:pPr>
          </w:p>
          <w:p w14:paraId="4C5DFB8D">
            <w:pPr>
              <w:spacing w:line="249" w:lineRule="auto"/>
              <w:jc w:val="center"/>
              <w:rPr>
                <w:rFonts w:ascii="Arial"/>
              </w:rPr>
            </w:pPr>
          </w:p>
          <w:p w14:paraId="72D6B6D9">
            <w:pPr>
              <w:spacing w:before="62" w:line="184" w:lineRule="auto"/>
              <w:jc w:val="center"/>
              <w:rPr>
                <w:rFonts w:ascii="仿宋" w:hAnsi="仿宋" w:eastAsia="仿宋" w:cs="仿宋"/>
                <w:sz w:val="19"/>
                <w:szCs w:val="19"/>
              </w:rPr>
            </w:pPr>
            <w:r>
              <w:rPr>
                <w:rFonts w:ascii="仿宋" w:hAnsi="仿宋" w:eastAsia="仿宋" w:cs="仿宋"/>
                <w:sz w:val="19"/>
                <w:szCs w:val="19"/>
              </w:rPr>
              <w:t>2</w:t>
            </w:r>
          </w:p>
        </w:tc>
        <w:tc>
          <w:tcPr>
            <w:tcW w:w="809" w:type="dxa"/>
          </w:tcPr>
          <w:p w14:paraId="67EDB4F5">
            <w:pPr>
              <w:spacing w:line="249" w:lineRule="auto"/>
              <w:jc w:val="center"/>
              <w:rPr>
                <w:rFonts w:ascii="Arial"/>
              </w:rPr>
            </w:pPr>
          </w:p>
          <w:p w14:paraId="49323217">
            <w:pPr>
              <w:spacing w:line="249" w:lineRule="auto"/>
              <w:jc w:val="center"/>
              <w:rPr>
                <w:rFonts w:ascii="Arial"/>
              </w:rPr>
            </w:pPr>
          </w:p>
          <w:p w14:paraId="0608E9DD">
            <w:pPr>
              <w:spacing w:before="62" w:line="184" w:lineRule="auto"/>
              <w:jc w:val="center"/>
              <w:rPr>
                <w:rFonts w:ascii="仿宋" w:hAnsi="仿宋" w:eastAsia="仿宋" w:cs="仿宋"/>
                <w:sz w:val="19"/>
                <w:szCs w:val="19"/>
              </w:rPr>
            </w:pPr>
            <w:r>
              <w:rPr>
                <w:rFonts w:hint="eastAsia" w:ascii="仿宋" w:hAnsi="仿宋" w:eastAsia="仿宋" w:cs="仿宋"/>
                <w:sz w:val="19"/>
                <w:szCs w:val="19"/>
              </w:rPr>
              <w:t>1.8</w:t>
            </w:r>
          </w:p>
        </w:tc>
      </w:tr>
      <w:tr w14:paraId="1A4E6A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4" w:hRule="atLeast"/>
        </w:trPr>
        <w:tc>
          <w:tcPr>
            <w:tcW w:w="1713" w:type="dxa"/>
            <w:vMerge w:val="continue"/>
            <w:tcBorders>
              <w:top w:val="nil"/>
              <w:bottom w:val="nil"/>
            </w:tcBorders>
          </w:tcPr>
          <w:p w14:paraId="639C4097">
            <w:pPr>
              <w:rPr>
                <w:rFonts w:ascii="Arial"/>
              </w:rPr>
            </w:pPr>
          </w:p>
        </w:tc>
        <w:tc>
          <w:tcPr>
            <w:tcW w:w="1526" w:type="dxa"/>
            <w:vMerge w:val="restart"/>
            <w:tcBorders>
              <w:bottom w:val="nil"/>
            </w:tcBorders>
          </w:tcPr>
          <w:p w14:paraId="1CD4C311">
            <w:pPr>
              <w:spacing w:line="309" w:lineRule="auto"/>
              <w:jc w:val="center"/>
              <w:rPr>
                <w:rFonts w:ascii="Arial"/>
              </w:rPr>
            </w:pPr>
          </w:p>
          <w:p w14:paraId="0E9C7FAD">
            <w:pPr>
              <w:spacing w:line="310" w:lineRule="auto"/>
              <w:jc w:val="center"/>
              <w:rPr>
                <w:rFonts w:ascii="Arial"/>
              </w:rPr>
            </w:pPr>
          </w:p>
          <w:p w14:paraId="471FA950">
            <w:pPr>
              <w:spacing w:line="310" w:lineRule="auto"/>
              <w:jc w:val="center"/>
              <w:rPr>
                <w:rFonts w:ascii="Arial"/>
              </w:rPr>
            </w:pPr>
          </w:p>
          <w:p w14:paraId="16E91C3A">
            <w:pPr>
              <w:spacing w:before="62" w:line="303" w:lineRule="auto"/>
              <w:ind w:left="118" w:right="107" w:hanging="14"/>
              <w:jc w:val="center"/>
              <w:rPr>
                <w:rFonts w:ascii="仿宋" w:hAnsi="仿宋" w:eastAsia="仿宋" w:cs="仿宋"/>
                <w:sz w:val="19"/>
                <w:szCs w:val="19"/>
              </w:rPr>
            </w:pPr>
            <w:r>
              <w:rPr>
                <w:rFonts w:ascii="仿宋" w:hAnsi="仿宋" w:eastAsia="仿宋" w:cs="仿宋"/>
                <w:sz w:val="19"/>
                <w:szCs w:val="19"/>
              </w:rPr>
              <w:t>A</w:t>
            </w:r>
            <w:r>
              <w:rPr>
                <w:rFonts w:ascii="仿宋" w:hAnsi="仿宋" w:eastAsia="仿宋" w:cs="仿宋"/>
                <w:spacing w:val="13"/>
                <w:sz w:val="19"/>
                <w:szCs w:val="19"/>
              </w:rPr>
              <w:t>3</w:t>
            </w:r>
            <w:r>
              <w:rPr>
                <w:rFonts w:hint="eastAsia" w:ascii="仿宋" w:hAnsi="仿宋" w:eastAsia="仿宋" w:cs="仿宋"/>
                <w:spacing w:val="10"/>
                <w:sz w:val="19"/>
                <w:szCs w:val="19"/>
              </w:rPr>
              <w:t>目标设定</w:t>
            </w:r>
          </w:p>
          <w:p w14:paraId="3E479CC3">
            <w:pPr>
              <w:spacing w:line="228" w:lineRule="auto"/>
              <w:ind w:left="121"/>
              <w:jc w:val="center"/>
              <w:rPr>
                <w:rFonts w:ascii="仿宋" w:hAnsi="仿宋" w:eastAsia="仿宋" w:cs="仿宋"/>
                <w:sz w:val="19"/>
                <w:szCs w:val="19"/>
              </w:rPr>
            </w:pPr>
            <w:r>
              <w:rPr>
                <w:rFonts w:ascii="仿宋" w:hAnsi="仿宋" w:eastAsia="仿宋" w:cs="仿宋"/>
                <w:spacing w:val="10"/>
                <w:sz w:val="19"/>
                <w:szCs w:val="19"/>
              </w:rPr>
              <w:t>(</w:t>
            </w:r>
            <w:r>
              <w:rPr>
                <w:rFonts w:hint="eastAsia" w:ascii="仿宋" w:hAnsi="仿宋" w:eastAsia="仿宋" w:cs="仿宋"/>
                <w:spacing w:val="9"/>
                <w:sz w:val="19"/>
                <w:szCs w:val="19"/>
              </w:rPr>
              <w:t>4</w:t>
            </w:r>
            <w:r>
              <w:rPr>
                <w:rFonts w:ascii="仿宋" w:hAnsi="仿宋" w:eastAsia="仿宋" w:cs="仿宋"/>
                <w:spacing w:val="9"/>
                <w:sz w:val="19"/>
                <w:szCs w:val="19"/>
              </w:rPr>
              <w:t xml:space="preserve"> 分)</w:t>
            </w:r>
          </w:p>
        </w:tc>
        <w:tc>
          <w:tcPr>
            <w:tcW w:w="1507" w:type="dxa"/>
          </w:tcPr>
          <w:p w14:paraId="29DEDAE0">
            <w:pPr>
              <w:spacing w:line="459" w:lineRule="auto"/>
              <w:jc w:val="center"/>
              <w:rPr>
                <w:rFonts w:ascii="Arial"/>
              </w:rPr>
            </w:pPr>
          </w:p>
          <w:p w14:paraId="70D9F460">
            <w:pPr>
              <w:spacing w:before="62" w:line="313" w:lineRule="auto"/>
              <w:ind w:left="117" w:right="104" w:hanging="12"/>
              <w:jc w:val="center"/>
              <w:rPr>
                <w:rFonts w:ascii="仿宋" w:hAnsi="仿宋" w:eastAsia="仿宋" w:cs="仿宋"/>
                <w:sz w:val="19"/>
                <w:szCs w:val="19"/>
              </w:rPr>
            </w:pPr>
            <w:r>
              <w:rPr>
                <w:rFonts w:ascii="仿宋" w:hAnsi="仿宋" w:eastAsia="仿宋" w:cs="仿宋"/>
                <w:sz w:val="19"/>
                <w:szCs w:val="19"/>
              </w:rPr>
              <w:t>A</w:t>
            </w:r>
            <w:r>
              <w:rPr>
                <w:rFonts w:ascii="仿宋" w:hAnsi="仿宋" w:eastAsia="仿宋" w:cs="仿宋"/>
                <w:spacing w:val="8"/>
                <w:sz w:val="19"/>
                <w:szCs w:val="19"/>
              </w:rPr>
              <w:t>3</w:t>
            </w:r>
            <w:r>
              <w:rPr>
                <w:rFonts w:ascii="仿宋" w:hAnsi="仿宋" w:eastAsia="仿宋" w:cs="仿宋"/>
                <w:spacing w:val="7"/>
                <w:sz w:val="19"/>
                <w:szCs w:val="19"/>
              </w:rPr>
              <w:t xml:space="preserve">1 </w:t>
            </w:r>
            <w:r>
              <w:rPr>
                <w:rFonts w:hint="eastAsia" w:ascii="仿宋" w:hAnsi="仿宋" w:eastAsia="仿宋" w:cs="仿宋"/>
                <w:spacing w:val="7"/>
                <w:sz w:val="19"/>
                <w:szCs w:val="19"/>
              </w:rPr>
              <w:t>绩效指标</w:t>
            </w:r>
            <w:r>
              <w:rPr>
                <w:rFonts w:ascii="仿宋" w:hAnsi="仿宋" w:eastAsia="仿宋" w:cs="仿宋"/>
                <w:spacing w:val="7"/>
                <w:sz w:val="19"/>
                <w:szCs w:val="19"/>
              </w:rPr>
              <w:t>明确性</w:t>
            </w:r>
          </w:p>
        </w:tc>
        <w:tc>
          <w:tcPr>
            <w:tcW w:w="1228" w:type="dxa"/>
          </w:tcPr>
          <w:p w14:paraId="696C5607">
            <w:pPr>
              <w:spacing w:line="307" w:lineRule="auto"/>
              <w:jc w:val="center"/>
              <w:rPr>
                <w:rFonts w:ascii="Arial"/>
              </w:rPr>
            </w:pPr>
          </w:p>
          <w:p w14:paraId="5357082E">
            <w:pPr>
              <w:spacing w:line="307" w:lineRule="auto"/>
              <w:jc w:val="center"/>
              <w:rPr>
                <w:rFonts w:ascii="Arial"/>
              </w:rPr>
            </w:pPr>
          </w:p>
          <w:p w14:paraId="02B9A47C">
            <w:pPr>
              <w:spacing w:before="62" w:line="228" w:lineRule="auto"/>
              <w:ind w:left="435"/>
              <w:rPr>
                <w:rFonts w:ascii="仿宋" w:hAnsi="仿宋" w:eastAsia="仿宋" w:cs="仿宋"/>
                <w:sz w:val="19"/>
                <w:szCs w:val="19"/>
              </w:rPr>
            </w:pPr>
            <w:r>
              <w:rPr>
                <w:rFonts w:hint="eastAsia" w:ascii="仿宋" w:hAnsi="仿宋" w:eastAsia="仿宋" w:cs="仿宋"/>
                <w:spacing w:val="-2"/>
                <w:sz w:val="19"/>
                <w:szCs w:val="19"/>
              </w:rPr>
              <w:t>明确</w:t>
            </w:r>
          </w:p>
        </w:tc>
        <w:tc>
          <w:tcPr>
            <w:tcW w:w="2563" w:type="dxa"/>
          </w:tcPr>
          <w:p w14:paraId="534B4EE2">
            <w:pPr>
              <w:spacing w:before="55" w:line="288" w:lineRule="auto"/>
              <w:ind w:left="119" w:right="105"/>
              <w:rPr>
                <w:rFonts w:ascii="仿宋" w:hAnsi="仿宋" w:eastAsia="仿宋" w:cs="仿宋"/>
                <w:sz w:val="19"/>
                <w:szCs w:val="19"/>
              </w:rPr>
            </w:pPr>
            <w:r>
              <w:rPr>
                <w:rFonts w:hint="eastAsia" w:ascii="仿宋" w:hAnsi="仿宋" w:eastAsia="仿宋" w:cs="仿宋"/>
                <w:sz w:val="19"/>
                <w:szCs w:val="19"/>
              </w:rPr>
              <w:t>考察部门工作计划安排是否对年度绩效目标、规划实施内容、时间安排有明确安排。</w:t>
            </w:r>
          </w:p>
        </w:tc>
        <w:tc>
          <w:tcPr>
            <w:tcW w:w="3808" w:type="dxa"/>
          </w:tcPr>
          <w:p w14:paraId="0AA03F0E">
            <w:pPr>
              <w:spacing w:before="56" w:line="303" w:lineRule="auto"/>
              <w:ind w:left="115" w:right="104" w:firstLine="12"/>
              <w:rPr>
                <w:rFonts w:ascii="仿宋" w:hAnsi="仿宋" w:eastAsia="仿宋" w:cs="仿宋"/>
                <w:sz w:val="19"/>
                <w:szCs w:val="19"/>
              </w:rPr>
            </w:pPr>
            <w:r>
              <w:rPr>
                <w:rFonts w:ascii="仿宋" w:hAnsi="仿宋" w:eastAsia="仿宋" w:cs="仿宋"/>
                <w:spacing w:val="8"/>
                <w:sz w:val="19"/>
                <w:szCs w:val="19"/>
              </w:rPr>
              <w:t>当年计划安排对年度绩效目标、规划实</w:t>
            </w:r>
            <w:r>
              <w:rPr>
                <w:rFonts w:ascii="仿宋" w:hAnsi="仿宋" w:eastAsia="仿宋" w:cs="仿宋"/>
                <w:spacing w:val="15"/>
                <w:sz w:val="19"/>
                <w:szCs w:val="19"/>
              </w:rPr>
              <w:t>施</w:t>
            </w:r>
            <w:r>
              <w:rPr>
                <w:rFonts w:ascii="仿宋" w:hAnsi="仿宋" w:eastAsia="仿宋" w:cs="仿宋"/>
                <w:spacing w:val="8"/>
                <w:sz w:val="19"/>
                <w:szCs w:val="19"/>
              </w:rPr>
              <w:t>内容、时间安排有明确安排</w:t>
            </w:r>
            <w:r>
              <w:rPr>
                <w:rFonts w:hint="eastAsia" w:ascii="仿宋" w:hAnsi="仿宋" w:eastAsia="仿宋" w:cs="仿宋"/>
                <w:spacing w:val="8"/>
                <w:sz w:val="19"/>
                <w:szCs w:val="19"/>
              </w:rPr>
              <w:t>，酌情得分</w:t>
            </w:r>
            <w:r>
              <w:rPr>
                <w:rFonts w:ascii="仿宋" w:hAnsi="仿宋" w:eastAsia="仿宋" w:cs="仿宋"/>
                <w:spacing w:val="8"/>
                <w:sz w:val="19"/>
                <w:szCs w:val="19"/>
              </w:rPr>
              <w:t>。</w:t>
            </w:r>
          </w:p>
          <w:p w14:paraId="52582DA8">
            <w:pPr>
              <w:spacing w:line="265" w:lineRule="auto"/>
              <w:ind w:right="103"/>
              <w:rPr>
                <w:rFonts w:ascii="仿宋" w:hAnsi="仿宋" w:eastAsia="仿宋" w:cs="仿宋"/>
                <w:sz w:val="19"/>
                <w:szCs w:val="19"/>
              </w:rPr>
            </w:pPr>
          </w:p>
        </w:tc>
        <w:tc>
          <w:tcPr>
            <w:tcW w:w="801" w:type="dxa"/>
          </w:tcPr>
          <w:p w14:paraId="6A4DAE75">
            <w:pPr>
              <w:spacing w:line="325" w:lineRule="auto"/>
              <w:jc w:val="center"/>
              <w:rPr>
                <w:rFonts w:ascii="Arial"/>
              </w:rPr>
            </w:pPr>
          </w:p>
          <w:p w14:paraId="6356957E">
            <w:pPr>
              <w:spacing w:line="325" w:lineRule="auto"/>
              <w:jc w:val="center"/>
              <w:rPr>
                <w:rFonts w:ascii="Arial"/>
              </w:rPr>
            </w:pPr>
          </w:p>
          <w:p w14:paraId="0A76E430">
            <w:pPr>
              <w:spacing w:before="61" w:line="185" w:lineRule="auto"/>
              <w:jc w:val="center"/>
              <w:rPr>
                <w:rFonts w:ascii="仿宋" w:hAnsi="仿宋" w:eastAsia="仿宋" w:cs="仿宋"/>
                <w:sz w:val="19"/>
                <w:szCs w:val="19"/>
              </w:rPr>
            </w:pPr>
            <w:r>
              <w:rPr>
                <w:rFonts w:hint="eastAsia" w:ascii="仿宋" w:hAnsi="仿宋" w:eastAsia="仿宋" w:cs="仿宋"/>
                <w:sz w:val="19"/>
                <w:szCs w:val="19"/>
              </w:rPr>
              <w:t>2</w:t>
            </w:r>
          </w:p>
        </w:tc>
        <w:tc>
          <w:tcPr>
            <w:tcW w:w="809" w:type="dxa"/>
          </w:tcPr>
          <w:p w14:paraId="36999029">
            <w:pPr>
              <w:spacing w:line="325" w:lineRule="auto"/>
              <w:jc w:val="center"/>
              <w:rPr>
                <w:rFonts w:ascii="Arial"/>
              </w:rPr>
            </w:pPr>
          </w:p>
          <w:p w14:paraId="1A680533">
            <w:pPr>
              <w:spacing w:line="326" w:lineRule="auto"/>
              <w:jc w:val="center"/>
              <w:rPr>
                <w:rFonts w:ascii="Arial"/>
              </w:rPr>
            </w:pPr>
          </w:p>
          <w:p w14:paraId="588F2A33">
            <w:pPr>
              <w:spacing w:before="61" w:line="184" w:lineRule="auto"/>
              <w:jc w:val="center"/>
              <w:rPr>
                <w:rFonts w:ascii="仿宋" w:hAnsi="仿宋" w:eastAsia="仿宋" w:cs="仿宋"/>
                <w:sz w:val="19"/>
                <w:szCs w:val="19"/>
              </w:rPr>
            </w:pPr>
            <w:r>
              <w:rPr>
                <w:rFonts w:hint="eastAsia" w:ascii="仿宋" w:hAnsi="仿宋" w:eastAsia="仿宋" w:cs="仿宋"/>
                <w:sz w:val="19"/>
                <w:szCs w:val="19"/>
              </w:rPr>
              <w:t>1</w:t>
            </w:r>
          </w:p>
        </w:tc>
      </w:tr>
      <w:tr w14:paraId="0E3E23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97" w:hRule="atLeast"/>
        </w:trPr>
        <w:tc>
          <w:tcPr>
            <w:tcW w:w="1713" w:type="dxa"/>
            <w:vMerge w:val="continue"/>
            <w:tcBorders>
              <w:top w:val="nil"/>
              <w:bottom w:val="nil"/>
            </w:tcBorders>
          </w:tcPr>
          <w:p w14:paraId="1532C25B">
            <w:pPr>
              <w:rPr>
                <w:rFonts w:ascii="Arial"/>
              </w:rPr>
            </w:pPr>
          </w:p>
        </w:tc>
        <w:tc>
          <w:tcPr>
            <w:tcW w:w="1526" w:type="dxa"/>
            <w:vMerge w:val="continue"/>
            <w:tcBorders>
              <w:top w:val="nil"/>
            </w:tcBorders>
          </w:tcPr>
          <w:p w14:paraId="5DB99407">
            <w:pPr>
              <w:jc w:val="center"/>
              <w:rPr>
                <w:rFonts w:ascii="Arial"/>
              </w:rPr>
            </w:pPr>
          </w:p>
        </w:tc>
        <w:tc>
          <w:tcPr>
            <w:tcW w:w="1507" w:type="dxa"/>
            <w:vAlign w:val="center"/>
          </w:tcPr>
          <w:p w14:paraId="5C45385D">
            <w:pPr>
              <w:spacing w:before="212" w:line="310" w:lineRule="auto"/>
              <w:ind w:left="117" w:right="104" w:hanging="12"/>
              <w:jc w:val="center"/>
              <w:rPr>
                <w:rFonts w:ascii="仿宋" w:hAnsi="仿宋" w:eastAsia="仿宋" w:cs="仿宋"/>
                <w:sz w:val="19"/>
                <w:szCs w:val="19"/>
              </w:rPr>
            </w:pPr>
            <w:r>
              <w:rPr>
                <w:rFonts w:ascii="仿宋" w:hAnsi="仿宋" w:eastAsia="仿宋" w:cs="仿宋"/>
                <w:sz w:val="19"/>
                <w:szCs w:val="19"/>
              </w:rPr>
              <w:t>A</w:t>
            </w:r>
            <w:r>
              <w:rPr>
                <w:rFonts w:ascii="仿宋" w:hAnsi="仿宋" w:eastAsia="仿宋" w:cs="仿宋"/>
                <w:spacing w:val="8"/>
                <w:sz w:val="19"/>
                <w:szCs w:val="19"/>
              </w:rPr>
              <w:t>3</w:t>
            </w:r>
            <w:r>
              <w:rPr>
                <w:rFonts w:ascii="仿宋" w:hAnsi="仿宋" w:eastAsia="仿宋" w:cs="仿宋"/>
                <w:spacing w:val="7"/>
                <w:sz w:val="19"/>
                <w:szCs w:val="19"/>
              </w:rPr>
              <w:t xml:space="preserve">2 </w:t>
            </w:r>
            <w:r>
              <w:rPr>
                <w:rFonts w:hint="eastAsia" w:ascii="仿宋" w:hAnsi="仿宋" w:eastAsia="仿宋" w:cs="仿宋"/>
                <w:spacing w:val="7"/>
                <w:sz w:val="19"/>
                <w:szCs w:val="19"/>
              </w:rPr>
              <w:t>绩效目标合理性</w:t>
            </w:r>
          </w:p>
        </w:tc>
        <w:tc>
          <w:tcPr>
            <w:tcW w:w="1228" w:type="dxa"/>
            <w:vAlign w:val="center"/>
          </w:tcPr>
          <w:p w14:paraId="6BD0C168">
            <w:pPr>
              <w:spacing w:before="61" w:line="235" w:lineRule="auto"/>
              <w:ind w:firstLine="368" w:firstLineChars="200"/>
              <w:rPr>
                <w:rFonts w:ascii="仿宋" w:hAnsi="仿宋" w:eastAsia="仿宋" w:cs="仿宋"/>
                <w:sz w:val="19"/>
                <w:szCs w:val="19"/>
              </w:rPr>
            </w:pPr>
            <w:r>
              <w:rPr>
                <w:rFonts w:hint="eastAsia" w:ascii="仿宋" w:hAnsi="仿宋" w:eastAsia="仿宋" w:cs="仿宋"/>
                <w:spacing w:val="-3"/>
                <w:sz w:val="19"/>
                <w:szCs w:val="19"/>
              </w:rPr>
              <w:t>合理</w:t>
            </w:r>
          </w:p>
        </w:tc>
        <w:tc>
          <w:tcPr>
            <w:tcW w:w="2563" w:type="dxa"/>
          </w:tcPr>
          <w:p w14:paraId="4B17EADE">
            <w:pPr>
              <w:spacing w:before="56" w:line="284" w:lineRule="auto"/>
              <w:ind w:left="119" w:right="83"/>
              <w:rPr>
                <w:rFonts w:ascii="仿宋" w:hAnsi="仿宋" w:eastAsia="仿宋" w:cs="仿宋"/>
                <w:sz w:val="19"/>
                <w:szCs w:val="19"/>
              </w:rPr>
            </w:pPr>
            <w:r>
              <w:rPr>
                <w:rFonts w:hint="eastAsia" w:ascii="仿宋" w:hAnsi="仿宋" w:eastAsia="仿宋" w:cs="仿宋"/>
                <w:sz w:val="19"/>
                <w:szCs w:val="19"/>
              </w:rPr>
              <w:t>考察部门年度绩效目标设定的合理性，年度工作计划是否与年度绩效目标相匹配，是否能对应部门职能，明确责任到人。</w:t>
            </w:r>
          </w:p>
        </w:tc>
        <w:tc>
          <w:tcPr>
            <w:tcW w:w="3808" w:type="dxa"/>
          </w:tcPr>
          <w:p w14:paraId="433C3146">
            <w:pPr>
              <w:numPr>
                <w:ilvl w:val="0"/>
                <w:numId w:val="5"/>
              </w:numPr>
              <w:spacing w:before="211" w:line="311" w:lineRule="auto"/>
              <w:ind w:left="189" w:leftChars="90" w:right="104"/>
              <w:rPr>
                <w:rFonts w:ascii="仿宋" w:hAnsi="仿宋" w:eastAsia="仿宋" w:cs="仿宋"/>
                <w:sz w:val="19"/>
                <w:szCs w:val="19"/>
              </w:rPr>
            </w:pPr>
            <w:r>
              <w:rPr>
                <w:rFonts w:hint="eastAsia" w:ascii="仿宋" w:hAnsi="仿宋" w:eastAsia="仿宋" w:cs="仿宋"/>
                <w:sz w:val="19"/>
                <w:szCs w:val="19"/>
              </w:rPr>
              <w:t xml:space="preserve">年度绩效目标设置合理得 1 分； </w:t>
            </w:r>
            <w:r>
              <w:rPr>
                <w:rFonts w:hint="eastAsia" w:ascii="仿宋" w:hAnsi="仿宋" w:eastAsia="仿宋" w:cs="仿宋"/>
                <w:sz w:val="19"/>
                <w:szCs w:val="19"/>
              </w:rPr>
              <w:br w:type="textWrapping"/>
            </w:r>
            <w:r>
              <w:rPr>
                <w:rFonts w:hint="eastAsia" w:ascii="仿宋" w:hAnsi="仿宋" w:eastAsia="仿宋" w:cs="仿宋"/>
                <w:sz w:val="19"/>
                <w:szCs w:val="19"/>
              </w:rPr>
              <w:t>2.年度绩效目标与年度工作计划相匹配得0.5分；</w:t>
            </w:r>
            <w:r>
              <w:rPr>
                <w:rFonts w:hint="eastAsia" w:ascii="仿宋" w:hAnsi="仿宋" w:eastAsia="仿宋" w:cs="仿宋"/>
                <w:sz w:val="19"/>
                <w:szCs w:val="19"/>
              </w:rPr>
              <w:br w:type="textWrapping"/>
            </w:r>
            <w:r>
              <w:rPr>
                <w:rFonts w:hint="eastAsia" w:ascii="仿宋" w:hAnsi="仿宋" w:eastAsia="仿宋" w:cs="仿宋"/>
                <w:sz w:val="19"/>
                <w:szCs w:val="19"/>
              </w:rPr>
              <w:t>3.年度绩效目标对应部门职责，明确到人得0.5分。</w:t>
            </w:r>
          </w:p>
        </w:tc>
        <w:tc>
          <w:tcPr>
            <w:tcW w:w="801" w:type="dxa"/>
          </w:tcPr>
          <w:p w14:paraId="057D50AE">
            <w:pPr>
              <w:spacing w:line="247" w:lineRule="auto"/>
              <w:jc w:val="center"/>
              <w:rPr>
                <w:rFonts w:ascii="Arial"/>
              </w:rPr>
            </w:pPr>
          </w:p>
          <w:p w14:paraId="1C18358E">
            <w:pPr>
              <w:spacing w:line="248" w:lineRule="auto"/>
              <w:jc w:val="center"/>
              <w:rPr>
                <w:rFonts w:ascii="Arial"/>
              </w:rPr>
            </w:pPr>
          </w:p>
          <w:p w14:paraId="3BECDCB4">
            <w:pPr>
              <w:spacing w:before="62" w:line="185" w:lineRule="auto"/>
              <w:jc w:val="center"/>
              <w:rPr>
                <w:rFonts w:ascii="仿宋" w:hAnsi="仿宋" w:eastAsia="仿宋" w:cs="仿宋"/>
                <w:spacing w:val="-2"/>
                <w:sz w:val="19"/>
                <w:szCs w:val="19"/>
              </w:rPr>
            </w:pPr>
          </w:p>
          <w:p w14:paraId="46E972E7">
            <w:pPr>
              <w:spacing w:before="62" w:line="185" w:lineRule="auto"/>
              <w:jc w:val="center"/>
              <w:rPr>
                <w:rFonts w:ascii="仿宋" w:hAnsi="仿宋" w:eastAsia="仿宋" w:cs="仿宋"/>
                <w:sz w:val="19"/>
                <w:szCs w:val="19"/>
              </w:rPr>
            </w:pPr>
            <w:r>
              <w:rPr>
                <w:rFonts w:hint="eastAsia" w:ascii="仿宋" w:hAnsi="仿宋" w:eastAsia="仿宋" w:cs="仿宋"/>
                <w:spacing w:val="-2"/>
                <w:sz w:val="19"/>
                <w:szCs w:val="19"/>
              </w:rPr>
              <w:t>2</w:t>
            </w:r>
          </w:p>
        </w:tc>
        <w:tc>
          <w:tcPr>
            <w:tcW w:w="809" w:type="dxa"/>
          </w:tcPr>
          <w:p w14:paraId="421C56B3">
            <w:pPr>
              <w:spacing w:line="247" w:lineRule="auto"/>
              <w:jc w:val="center"/>
              <w:rPr>
                <w:rFonts w:ascii="Arial"/>
              </w:rPr>
            </w:pPr>
          </w:p>
          <w:p w14:paraId="33BF053A">
            <w:pPr>
              <w:spacing w:line="248" w:lineRule="auto"/>
              <w:jc w:val="center"/>
              <w:rPr>
                <w:rFonts w:ascii="Arial"/>
              </w:rPr>
            </w:pPr>
          </w:p>
          <w:p w14:paraId="738FADAE">
            <w:pPr>
              <w:spacing w:before="62" w:line="185" w:lineRule="auto"/>
              <w:jc w:val="center"/>
              <w:rPr>
                <w:rFonts w:ascii="仿宋" w:hAnsi="仿宋" w:eastAsia="仿宋" w:cs="仿宋"/>
                <w:spacing w:val="-2"/>
                <w:sz w:val="19"/>
                <w:szCs w:val="19"/>
              </w:rPr>
            </w:pPr>
          </w:p>
          <w:p w14:paraId="70777070">
            <w:pPr>
              <w:spacing w:before="62" w:line="185" w:lineRule="auto"/>
              <w:jc w:val="center"/>
              <w:rPr>
                <w:rFonts w:ascii="仿宋" w:hAnsi="仿宋" w:eastAsia="仿宋" w:cs="仿宋"/>
                <w:sz w:val="19"/>
                <w:szCs w:val="19"/>
              </w:rPr>
            </w:pPr>
            <w:r>
              <w:rPr>
                <w:rFonts w:hint="eastAsia" w:ascii="仿宋" w:hAnsi="仿宋" w:eastAsia="仿宋" w:cs="仿宋"/>
                <w:spacing w:val="-2"/>
                <w:sz w:val="19"/>
                <w:szCs w:val="19"/>
              </w:rPr>
              <w:t>1.5</w:t>
            </w:r>
          </w:p>
        </w:tc>
      </w:tr>
      <w:tr w14:paraId="38C7DE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1713" w:type="dxa"/>
            <w:vMerge w:val="continue"/>
            <w:tcBorders>
              <w:top w:val="nil"/>
              <w:bottom w:val="nil"/>
            </w:tcBorders>
          </w:tcPr>
          <w:p w14:paraId="5A8BE7D8">
            <w:pPr>
              <w:rPr>
                <w:rFonts w:ascii="Arial"/>
              </w:rPr>
            </w:pPr>
          </w:p>
        </w:tc>
        <w:tc>
          <w:tcPr>
            <w:tcW w:w="1526" w:type="dxa"/>
            <w:vMerge w:val="restart"/>
            <w:tcBorders>
              <w:bottom w:val="nil"/>
            </w:tcBorders>
          </w:tcPr>
          <w:p w14:paraId="0B368958">
            <w:pPr>
              <w:spacing w:line="310" w:lineRule="auto"/>
              <w:jc w:val="center"/>
              <w:rPr>
                <w:rFonts w:ascii="Arial"/>
              </w:rPr>
            </w:pPr>
          </w:p>
          <w:p w14:paraId="56112041">
            <w:pPr>
              <w:spacing w:line="311" w:lineRule="auto"/>
              <w:jc w:val="center"/>
              <w:rPr>
                <w:rFonts w:ascii="Arial"/>
              </w:rPr>
            </w:pPr>
          </w:p>
          <w:p w14:paraId="642D1C4C">
            <w:pPr>
              <w:spacing w:before="62" w:line="303" w:lineRule="auto"/>
              <w:ind w:left="117" w:right="107" w:hanging="13"/>
              <w:jc w:val="center"/>
              <w:rPr>
                <w:rFonts w:ascii="仿宋" w:hAnsi="仿宋" w:eastAsia="仿宋" w:cs="仿宋"/>
                <w:sz w:val="19"/>
                <w:szCs w:val="19"/>
              </w:rPr>
            </w:pPr>
            <w:r>
              <w:rPr>
                <w:rFonts w:ascii="仿宋" w:hAnsi="仿宋" w:eastAsia="仿宋" w:cs="仿宋"/>
                <w:sz w:val="19"/>
                <w:szCs w:val="19"/>
              </w:rPr>
              <w:t>A</w:t>
            </w:r>
            <w:r>
              <w:rPr>
                <w:rFonts w:ascii="仿宋" w:hAnsi="仿宋" w:eastAsia="仿宋" w:cs="仿宋"/>
                <w:spacing w:val="13"/>
                <w:sz w:val="19"/>
                <w:szCs w:val="19"/>
              </w:rPr>
              <w:t>4</w:t>
            </w:r>
            <w:r>
              <w:rPr>
                <w:rFonts w:ascii="仿宋" w:hAnsi="仿宋" w:eastAsia="仿宋" w:cs="仿宋"/>
                <w:spacing w:val="10"/>
                <w:sz w:val="19"/>
                <w:szCs w:val="19"/>
              </w:rPr>
              <w:t xml:space="preserve"> 预算编</w:t>
            </w:r>
            <w:r>
              <w:rPr>
                <w:rFonts w:ascii="仿宋" w:hAnsi="仿宋" w:eastAsia="仿宋" w:cs="仿宋"/>
                <w:sz w:val="19"/>
                <w:szCs w:val="19"/>
              </w:rPr>
              <w:t>制</w:t>
            </w:r>
          </w:p>
          <w:p w14:paraId="1ECC3B79">
            <w:pPr>
              <w:spacing w:line="228" w:lineRule="auto"/>
              <w:ind w:left="121"/>
              <w:jc w:val="center"/>
              <w:rPr>
                <w:rFonts w:ascii="仿宋" w:hAnsi="仿宋" w:eastAsia="仿宋" w:cs="仿宋"/>
                <w:sz w:val="19"/>
                <w:szCs w:val="19"/>
              </w:rPr>
            </w:pPr>
            <w:r>
              <w:rPr>
                <w:rFonts w:ascii="仿宋" w:hAnsi="仿宋" w:eastAsia="仿宋" w:cs="仿宋"/>
                <w:spacing w:val="10"/>
                <w:sz w:val="19"/>
                <w:szCs w:val="19"/>
              </w:rPr>
              <w:t>(</w:t>
            </w:r>
            <w:r>
              <w:rPr>
                <w:rFonts w:hint="eastAsia" w:ascii="仿宋" w:hAnsi="仿宋" w:eastAsia="仿宋" w:cs="仿宋"/>
                <w:spacing w:val="9"/>
                <w:sz w:val="19"/>
                <w:szCs w:val="19"/>
              </w:rPr>
              <w:t>4</w:t>
            </w:r>
            <w:r>
              <w:rPr>
                <w:rFonts w:ascii="仿宋" w:hAnsi="仿宋" w:eastAsia="仿宋" w:cs="仿宋"/>
                <w:spacing w:val="9"/>
                <w:sz w:val="19"/>
                <w:szCs w:val="19"/>
              </w:rPr>
              <w:t xml:space="preserve"> 分)</w:t>
            </w:r>
          </w:p>
        </w:tc>
        <w:tc>
          <w:tcPr>
            <w:tcW w:w="1507" w:type="dxa"/>
          </w:tcPr>
          <w:p w14:paraId="3D05C55F">
            <w:pPr>
              <w:spacing w:line="306" w:lineRule="auto"/>
              <w:jc w:val="center"/>
              <w:rPr>
                <w:rFonts w:ascii="Arial"/>
              </w:rPr>
            </w:pPr>
          </w:p>
          <w:p w14:paraId="77341350">
            <w:pPr>
              <w:spacing w:before="62" w:line="314" w:lineRule="auto"/>
              <w:ind w:left="118" w:right="104" w:hanging="13"/>
              <w:jc w:val="center"/>
              <w:rPr>
                <w:rFonts w:ascii="仿宋" w:hAnsi="仿宋" w:eastAsia="仿宋" w:cs="仿宋"/>
                <w:sz w:val="19"/>
                <w:szCs w:val="19"/>
              </w:rPr>
            </w:pPr>
            <w:r>
              <w:rPr>
                <w:rFonts w:ascii="仿宋" w:hAnsi="仿宋" w:eastAsia="仿宋" w:cs="仿宋"/>
                <w:sz w:val="19"/>
                <w:szCs w:val="19"/>
              </w:rPr>
              <w:t>A</w:t>
            </w:r>
            <w:r>
              <w:rPr>
                <w:rFonts w:ascii="仿宋" w:hAnsi="仿宋" w:eastAsia="仿宋" w:cs="仿宋"/>
                <w:spacing w:val="8"/>
                <w:sz w:val="19"/>
                <w:szCs w:val="19"/>
              </w:rPr>
              <w:t>4</w:t>
            </w:r>
            <w:r>
              <w:rPr>
                <w:rFonts w:ascii="仿宋" w:hAnsi="仿宋" w:eastAsia="仿宋" w:cs="仿宋"/>
                <w:spacing w:val="7"/>
                <w:sz w:val="19"/>
                <w:szCs w:val="19"/>
              </w:rPr>
              <w:t>1 预算编制</w:t>
            </w:r>
            <w:r>
              <w:rPr>
                <w:rFonts w:ascii="仿宋" w:hAnsi="仿宋" w:eastAsia="仿宋" w:cs="仿宋"/>
                <w:spacing w:val="6"/>
                <w:sz w:val="19"/>
                <w:szCs w:val="19"/>
              </w:rPr>
              <w:t>规范</w:t>
            </w:r>
            <w:r>
              <w:rPr>
                <w:rFonts w:hint="eastAsia" w:ascii="仿宋" w:hAnsi="仿宋" w:eastAsia="仿宋" w:cs="仿宋"/>
                <w:spacing w:val="6"/>
                <w:sz w:val="19"/>
                <w:szCs w:val="19"/>
              </w:rPr>
              <w:t>性</w:t>
            </w:r>
          </w:p>
        </w:tc>
        <w:tc>
          <w:tcPr>
            <w:tcW w:w="1228" w:type="dxa"/>
          </w:tcPr>
          <w:p w14:paraId="69C20F6D">
            <w:pPr>
              <w:spacing w:line="460" w:lineRule="auto"/>
              <w:jc w:val="center"/>
              <w:rPr>
                <w:rFonts w:ascii="Arial"/>
              </w:rPr>
            </w:pPr>
          </w:p>
          <w:p w14:paraId="51BF32DF">
            <w:pPr>
              <w:spacing w:before="62" w:line="227" w:lineRule="auto"/>
              <w:ind w:firstLine="408" w:firstLineChars="200"/>
              <w:rPr>
                <w:rFonts w:ascii="仿宋" w:hAnsi="仿宋" w:eastAsia="仿宋" w:cs="仿宋"/>
                <w:sz w:val="19"/>
                <w:szCs w:val="19"/>
              </w:rPr>
            </w:pPr>
            <w:r>
              <w:rPr>
                <w:rFonts w:ascii="仿宋" w:hAnsi="仿宋" w:eastAsia="仿宋" w:cs="仿宋"/>
                <w:spacing w:val="7"/>
                <w:sz w:val="19"/>
                <w:szCs w:val="19"/>
              </w:rPr>
              <w:t>规范</w:t>
            </w:r>
          </w:p>
        </w:tc>
        <w:tc>
          <w:tcPr>
            <w:tcW w:w="2563" w:type="dxa"/>
          </w:tcPr>
          <w:p w14:paraId="706EC1C3">
            <w:pPr>
              <w:spacing w:before="58" w:line="284" w:lineRule="auto"/>
              <w:ind w:left="116" w:right="105" w:firstLine="2"/>
              <w:rPr>
                <w:rFonts w:ascii="仿宋" w:hAnsi="仿宋" w:eastAsia="仿宋" w:cs="仿宋"/>
                <w:sz w:val="19"/>
                <w:szCs w:val="19"/>
              </w:rPr>
            </w:pPr>
            <w:r>
              <w:rPr>
                <w:rFonts w:hint="eastAsia" w:ascii="仿宋" w:hAnsi="仿宋" w:eastAsia="仿宋" w:cs="仿宋"/>
                <w:sz w:val="19"/>
                <w:szCs w:val="19"/>
              </w:rPr>
              <w:t>考察部门的预算编制是否有相应的制度保障， 流程设计是否规范；执行是否有效。</w:t>
            </w:r>
          </w:p>
        </w:tc>
        <w:tc>
          <w:tcPr>
            <w:tcW w:w="3808" w:type="dxa"/>
          </w:tcPr>
          <w:p w14:paraId="4B100B9C">
            <w:pPr>
              <w:spacing w:before="213" w:line="311" w:lineRule="auto"/>
              <w:ind w:left="115" w:right="144" w:firstLine="12"/>
              <w:rPr>
                <w:rFonts w:ascii="仿宋" w:hAnsi="仿宋" w:eastAsia="仿宋" w:cs="仿宋"/>
                <w:sz w:val="19"/>
                <w:szCs w:val="19"/>
              </w:rPr>
            </w:pPr>
            <w:r>
              <w:rPr>
                <w:rFonts w:ascii="仿宋" w:hAnsi="仿宋" w:eastAsia="仿宋" w:cs="仿宋"/>
                <w:spacing w:val="1"/>
                <w:sz w:val="19"/>
                <w:szCs w:val="19"/>
              </w:rPr>
              <w:t>1.预算编制有相应的制度保障得</w:t>
            </w:r>
            <w:r>
              <w:rPr>
                <w:rFonts w:hint="eastAsia" w:ascii="仿宋" w:hAnsi="仿宋" w:eastAsia="仿宋" w:cs="仿宋"/>
                <w:sz w:val="19"/>
                <w:szCs w:val="19"/>
              </w:rPr>
              <w:t>1</w:t>
            </w:r>
            <w:r>
              <w:rPr>
                <w:rFonts w:ascii="仿宋" w:hAnsi="仿宋" w:eastAsia="仿宋" w:cs="仿宋"/>
                <w:sz w:val="19"/>
                <w:szCs w:val="19"/>
              </w:rPr>
              <w:t xml:space="preserve"> 分； </w:t>
            </w:r>
            <w:r>
              <w:rPr>
                <w:rFonts w:ascii="仿宋" w:hAnsi="仿宋" w:eastAsia="仿宋" w:cs="仿宋"/>
                <w:spacing w:val="2"/>
                <w:sz w:val="19"/>
                <w:szCs w:val="19"/>
              </w:rPr>
              <w:t>2.预算编制</w:t>
            </w:r>
            <w:r>
              <w:rPr>
                <w:rFonts w:ascii="仿宋" w:hAnsi="仿宋" w:eastAsia="仿宋" w:cs="仿宋"/>
                <w:spacing w:val="1"/>
                <w:sz w:val="19"/>
                <w:szCs w:val="19"/>
              </w:rPr>
              <w:t>流程设计规范得 0.5 分；</w:t>
            </w:r>
            <w:r>
              <w:rPr>
                <w:rFonts w:ascii="仿宋" w:hAnsi="仿宋" w:eastAsia="仿宋" w:cs="仿宋"/>
                <w:sz w:val="19"/>
                <w:szCs w:val="19"/>
              </w:rPr>
              <w:br w:type="textWrapping"/>
            </w:r>
            <w:r>
              <w:rPr>
                <w:rFonts w:ascii="仿宋" w:hAnsi="仿宋" w:eastAsia="仿宋" w:cs="仿宋"/>
                <w:spacing w:val="1"/>
                <w:sz w:val="19"/>
                <w:szCs w:val="19"/>
              </w:rPr>
              <w:t>3.预算编制执行有效得 0.5 分。</w:t>
            </w:r>
          </w:p>
        </w:tc>
        <w:tc>
          <w:tcPr>
            <w:tcW w:w="801" w:type="dxa"/>
          </w:tcPr>
          <w:p w14:paraId="0132039B">
            <w:pPr>
              <w:spacing w:line="248" w:lineRule="auto"/>
              <w:jc w:val="center"/>
              <w:rPr>
                <w:rFonts w:ascii="Arial"/>
              </w:rPr>
            </w:pPr>
          </w:p>
          <w:p w14:paraId="4F0F13DE">
            <w:pPr>
              <w:spacing w:line="248" w:lineRule="auto"/>
              <w:jc w:val="center"/>
              <w:rPr>
                <w:rFonts w:ascii="Arial"/>
              </w:rPr>
            </w:pPr>
          </w:p>
          <w:p w14:paraId="2666D82A">
            <w:pPr>
              <w:spacing w:before="62" w:line="185" w:lineRule="auto"/>
              <w:jc w:val="center"/>
              <w:rPr>
                <w:rFonts w:ascii="仿宋" w:hAnsi="仿宋" w:eastAsia="仿宋" w:cs="仿宋"/>
                <w:sz w:val="19"/>
                <w:szCs w:val="19"/>
              </w:rPr>
            </w:pPr>
            <w:r>
              <w:rPr>
                <w:rFonts w:hint="eastAsia" w:ascii="仿宋" w:hAnsi="仿宋" w:eastAsia="仿宋" w:cs="仿宋"/>
                <w:spacing w:val="-2"/>
                <w:sz w:val="19"/>
                <w:szCs w:val="19"/>
              </w:rPr>
              <w:t>2</w:t>
            </w:r>
          </w:p>
        </w:tc>
        <w:tc>
          <w:tcPr>
            <w:tcW w:w="809" w:type="dxa"/>
          </w:tcPr>
          <w:p w14:paraId="63D1E7F5">
            <w:pPr>
              <w:spacing w:before="62" w:line="185" w:lineRule="auto"/>
              <w:jc w:val="center"/>
              <w:rPr>
                <w:rFonts w:ascii="仿宋" w:hAnsi="仿宋" w:eastAsia="仿宋" w:cs="仿宋"/>
                <w:sz w:val="19"/>
                <w:szCs w:val="19"/>
              </w:rPr>
            </w:pPr>
          </w:p>
          <w:p w14:paraId="2556AE30">
            <w:pPr>
              <w:spacing w:before="62" w:line="185" w:lineRule="auto"/>
              <w:jc w:val="center"/>
              <w:rPr>
                <w:rFonts w:ascii="仿宋" w:hAnsi="仿宋" w:eastAsia="仿宋" w:cs="仿宋"/>
                <w:sz w:val="19"/>
                <w:szCs w:val="19"/>
              </w:rPr>
            </w:pPr>
          </w:p>
          <w:p w14:paraId="6886E353">
            <w:pPr>
              <w:spacing w:before="62" w:line="185" w:lineRule="auto"/>
              <w:jc w:val="center"/>
              <w:rPr>
                <w:rFonts w:ascii="仿宋" w:hAnsi="仿宋" w:eastAsia="仿宋" w:cs="仿宋"/>
                <w:sz w:val="19"/>
                <w:szCs w:val="19"/>
              </w:rPr>
            </w:pPr>
            <w:r>
              <w:rPr>
                <w:rFonts w:hint="eastAsia" w:ascii="仿宋" w:hAnsi="仿宋" w:eastAsia="仿宋" w:cs="仿宋"/>
                <w:sz w:val="19"/>
                <w:szCs w:val="19"/>
              </w:rPr>
              <w:t>1.5</w:t>
            </w:r>
          </w:p>
        </w:tc>
      </w:tr>
      <w:tr w14:paraId="560CD4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713" w:type="dxa"/>
            <w:vMerge w:val="continue"/>
            <w:tcBorders>
              <w:top w:val="nil"/>
            </w:tcBorders>
          </w:tcPr>
          <w:p w14:paraId="6FF2956D">
            <w:pPr>
              <w:rPr>
                <w:rFonts w:ascii="Arial"/>
              </w:rPr>
            </w:pPr>
          </w:p>
        </w:tc>
        <w:tc>
          <w:tcPr>
            <w:tcW w:w="1526" w:type="dxa"/>
            <w:vMerge w:val="continue"/>
            <w:tcBorders>
              <w:top w:val="nil"/>
            </w:tcBorders>
          </w:tcPr>
          <w:p w14:paraId="18A56045">
            <w:pPr>
              <w:rPr>
                <w:rFonts w:ascii="Arial"/>
              </w:rPr>
            </w:pPr>
          </w:p>
        </w:tc>
        <w:tc>
          <w:tcPr>
            <w:tcW w:w="1507" w:type="dxa"/>
          </w:tcPr>
          <w:p w14:paraId="3C000168">
            <w:pPr>
              <w:spacing w:before="58" w:line="277" w:lineRule="auto"/>
              <w:ind w:left="122" w:right="104" w:hanging="17"/>
              <w:jc w:val="center"/>
              <w:rPr>
                <w:rFonts w:ascii="仿宋" w:hAnsi="仿宋" w:eastAsia="仿宋" w:cs="仿宋"/>
                <w:sz w:val="19"/>
                <w:szCs w:val="19"/>
              </w:rPr>
            </w:pPr>
            <w:r>
              <w:rPr>
                <w:rFonts w:ascii="仿宋" w:hAnsi="仿宋" w:eastAsia="仿宋" w:cs="仿宋"/>
                <w:sz w:val="19"/>
                <w:szCs w:val="19"/>
              </w:rPr>
              <w:t>A</w:t>
            </w:r>
            <w:r>
              <w:rPr>
                <w:rFonts w:ascii="仿宋" w:hAnsi="仿宋" w:eastAsia="仿宋" w:cs="仿宋"/>
                <w:spacing w:val="8"/>
                <w:sz w:val="19"/>
                <w:szCs w:val="19"/>
              </w:rPr>
              <w:t>4</w:t>
            </w:r>
            <w:r>
              <w:rPr>
                <w:rFonts w:ascii="仿宋" w:hAnsi="仿宋" w:eastAsia="仿宋" w:cs="仿宋"/>
                <w:spacing w:val="7"/>
                <w:sz w:val="19"/>
                <w:szCs w:val="19"/>
              </w:rPr>
              <w:t>2 预算编制</w:t>
            </w:r>
            <w:r>
              <w:rPr>
                <w:rFonts w:hint="eastAsia" w:ascii="仿宋" w:hAnsi="仿宋" w:eastAsia="仿宋" w:cs="仿宋"/>
                <w:spacing w:val="23"/>
                <w:sz w:val="19"/>
                <w:szCs w:val="19"/>
              </w:rPr>
              <w:t>科学性</w:t>
            </w:r>
          </w:p>
        </w:tc>
        <w:tc>
          <w:tcPr>
            <w:tcW w:w="1228" w:type="dxa"/>
          </w:tcPr>
          <w:p w14:paraId="7CA9504E">
            <w:pPr>
              <w:spacing w:line="307" w:lineRule="auto"/>
              <w:rPr>
                <w:rFonts w:ascii="Arial"/>
              </w:rPr>
            </w:pPr>
          </w:p>
          <w:p w14:paraId="6BADD97D">
            <w:pPr>
              <w:spacing w:before="62" w:line="226" w:lineRule="auto"/>
              <w:ind w:left="423"/>
              <w:rPr>
                <w:rFonts w:ascii="仿宋" w:hAnsi="仿宋" w:eastAsia="仿宋" w:cs="仿宋"/>
                <w:sz w:val="19"/>
                <w:szCs w:val="19"/>
              </w:rPr>
            </w:pPr>
            <w:r>
              <w:rPr>
                <w:rFonts w:hint="eastAsia" w:ascii="仿宋" w:hAnsi="仿宋" w:eastAsia="仿宋" w:cs="仿宋"/>
                <w:spacing w:val="3"/>
                <w:sz w:val="19"/>
                <w:szCs w:val="19"/>
              </w:rPr>
              <w:t>科学</w:t>
            </w:r>
          </w:p>
        </w:tc>
        <w:tc>
          <w:tcPr>
            <w:tcW w:w="2563" w:type="dxa"/>
          </w:tcPr>
          <w:p w14:paraId="1BB00E35">
            <w:pPr>
              <w:spacing w:before="215" w:line="313" w:lineRule="auto"/>
              <w:ind w:left="129" w:right="107" w:hanging="10"/>
              <w:rPr>
                <w:rFonts w:ascii="仿宋" w:hAnsi="仿宋" w:eastAsia="仿宋" w:cs="仿宋"/>
                <w:sz w:val="19"/>
                <w:szCs w:val="19"/>
              </w:rPr>
            </w:pPr>
            <w:r>
              <w:rPr>
                <w:rFonts w:hint="eastAsia" w:ascii="仿宋" w:hAnsi="仿宋" w:eastAsia="仿宋" w:cs="仿宋"/>
                <w:sz w:val="19"/>
                <w:szCs w:val="19"/>
              </w:rPr>
              <w:t>考察预算编制是否科学，与重点工作任务的匹配程度。</w:t>
            </w:r>
          </w:p>
        </w:tc>
        <w:tc>
          <w:tcPr>
            <w:tcW w:w="3808" w:type="dxa"/>
          </w:tcPr>
          <w:p w14:paraId="36A058B5">
            <w:pPr>
              <w:spacing w:before="59" w:line="278" w:lineRule="auto"/>
              <w:ind w:left="121" w:right="104" w:hanging="1"/>
              <w:rPr>
                <w:rFonts w:ascii="仿宋" w:hAnsi="仿宋" w:eastAsia="仿宋" w:cs="仿宋"/>
                <w:sz w:val="19"/>
                <w:szCs w:val="19"/>
              </w:rPr>
            </w:pPr>
            <w:r>
              <w:rPr>
                <w:rFonts w:hint="eastAsia" w:ascii="仿宋" w:hAnsi="仿宋" w:eastAsia="仿宋" w:cs="仿宋"/>
                <w:sz w:val="19"/>
                <w:szCs w:val="19"/>
              </w:rPr>
              <w:t>部门的预算编制与重点工作任务相匹配。 匹配程度较高得对应权重分， 否则酌情得 分。</w:t>
            </w:r>
          </w:p>
        </w:tc>
        <w:tc>
          <w:tcPr>
            <w:tcW w:w="801" w:type="dxa"/>
          </w:tcPr>
          <w:p w14:paraId="101979B4">
            <w:pPr>
              <w:spacing w:line="342" w:lineRule="auto"/>
              <w:rPr>
                <w:rFonts w:ascii="Arial"/>
              </w:rPr>
            </w:pPr>
          </w:p>
          <w:p w14:paraId="554EBFC3">
            <w:pPr>
              <w:spacing w:before="62" w:line="185" w:lineRule="auto"/>
              <w:ind w:left="372"/>
              <w:rPr>
                <w:rFonts w:ascii="仿宋" w:hAnsi="仿宋" w:eastAsia="仿宋" w:cs="仿宋"/>
                <w:sz w:val="19"/>
                <w:szCs w:val="19"/>
              </w:rPr>
            </w:pPr>
            <w:r>
              <w:rPr>
                <w:rFonts w:hint="eastAsia" w:ascii="仿宋" w:hAnsi="仿宋" w:eastAsia="仿宋" w:cs="仿宋"/>
                <w:sz w:val="19"/>
                <w:szCs w:val="19"/>
              </w:rPr>
              <w:t>2</w:t>
            </w:r>
          </w:p>
        </w:tc>
        <w:tc>
          <w:tcPr>
            <w:tcW w:w="809" w:type="dxa"/>
          </w:tcPr>
          <w:p w14:paraId="59D0DFDA">
            <w:pPr>
              <w:spacing w:line="342" w:lineRule="auto"/>
              <w:rPr>
                <w:rFonts w:ascii="Arial"/>
              </w:rPr>
            </w:pPr>
          </w:p>
          <w:p w14:paraId="5B76ADD5">
            <w:pPr>
              <w:spacing w:before="62" w:line="185" w:lineRule="auto"/>
              <w:jc w:val="center"/>
              <w:rPr>
                <w:rFonts w:ascii="仿宋" w:hAnsi="仿宋" w:eastAsia="仿宋" w:cs="仿宋"/>
                <w:sz w:val="19"/>
                <w:szCs w:val="19"/>
              </w:rPr>
            </w:pPr>
            <w:r>
              <w:rPr>
                <w:rFonts w:ascii="仿宋" w:hAnsi="仿宋" w:eastAsia="仿宋" w:cs="仿宋"/>
                <w:sz w:val="19"/>
                <w:szCs w:val="19"/>
              </w:rPr>
              <w:t>1</w:t>
            </w:r>
            <w:r>
              <w:rPr>
                <w:rFonts w:hint="eastAsia" w:ascii="仿宋" w:hAnsi="仿宋" w:eastAsia="仿宋" w:cs="仿宋"/>
                <w:sz w:val="19"/>
                <w:szCs w:val="19"/>
              </w:rPr>
              <w:t>.5</w:t>
            </w:r>
          </w:p>
        </w:tc>
      </w:tr>
    </w:tbl>
    <w:p w14:paraId="36178073">
      <w:pPr>
        <w:sectPr>
          <w:pgSz w:w="16839" w:h="11906"/>
          <w:pgMar w:top="1012" w:right="1330" w:bottom="400" w:left="1327" w:header="0" w:footer="0" w:gutter="0"/>
          <w:cols w:space="720" w:num="1"/>
        </w:sectPr>
      </w:pPr>
    </w:p>
    <w:p w14:paraId="6C19A78E"/>
    <w:tbl>
      <w:tblPr>
        <w:tblStyle w:val="10"/>
        <w:tblW w:w="139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13"/>
        <w:gridCol w:w="1526"/>
        <w:gridCol w:w="1507"/>
        <w:gridCol w:w="1228"/>
        <w:gridCol w:w="2563"/>
        <w:gridCol w:w="3808"/>
        <w:gridCol w:w="801"/>
        <w:gridCol w:w="809"/>
      </w:tblGrid>
      <w:tr w14:paraId="2E42DF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4746" w:type="dxa"/>
            <w:gridSpan w:val="3"/>
          </w:tcPr>
          <w:p w14:paraId="584E950A">
            <w:pPr>
              <w:spacing w:before="59" w:line="229" w:lineRule="auto"/>
              <w:ind w:left="2176"/>
              <w:rPr>
                <w:rFonts w:ascii="黑体" w:hAnsi="黑体" w:eastAsia="黑体" w:cs="黑体"/>
                <w:sz w:val="19"/>
                <w:szCs w:val="19"/>
              </w:rPr>
            </w:pPr>
            <w:r>
              <w:rPr>
                <w:rFonts w:ascii="黑体" w:hAnsi="黑体" w:eastAsia="黑体" w:cs="黑体"/>
                <w:spacing w:val="7"/>
                <w:sz w:val="19"/>
                <w:szCs w:val="19"/>
              </w:rPr>
              <w:t>指</w:t>
            </w:r>
            <w:r>
              <w:rPr>
                <w:rFonts w:ascii="黑体" w:hAnsi="黑体" w:eastAsia="黑体" w:cs="黑体"/>
                <w:spacing w:val="6"/>
                <w:sz w:val="19"/>
                <w:szCs w:val="19"/>
              </w:rPr>
              <w:t>标</w:t>
            </w:r>
          </w:p>
        </w:tc>
        <w:tc>
          <w:tcPr>
            <w:tcW w:w="1228" w:type="dxa"/>
            <w:vMerge w:val="restart"/>
            <w:tcBorders>
              <w:bottom w:val="nil"/>
            </w:tcBorders>
          </w:tcPr>
          <w:p w14:paraId="5ACEE6E3">
            <w:pPr>
              <w:spacing w:before="234" w:line="230" w:lineRule="auto"/>
              <w:ind w:left="313"/>
              <w:rPr>
                <w:rFonts w:ascii="黑体" w:hAnsi="黑体" w:eastAsia="黑体" w:cs="黑体"/>
                <w:sz w:val="19"/>
                <w:szCs w:val="19"/>
              </w:rPr>
            </w:pPr>
            <w:r>
              <w:rPr>
                <w:rFonts w:ascii="黑体" w:hAnsi="黑体" w:eastAsia="黑体" w:cs="黑体"/>
                <w:spacing w:val="9"/>
                <w:sz w:val="19"/>
                <w:szCs w:val="19"/>
              </w:rPr>
              <w:t>标</w:t>
            </w:r>
            <w:r>
              <w:rPr>
                <w:rFonts w:ascii="黑体" w:hAnsi="黑体" w:eastAsia="黑体" w:cs="黑体"/>
                <w:spacing w:val="8"/>
                <w:sz w:val="19"/>
                <w:szCs w:val="19"/>
              </w:rPr>
              <w:t>准值</w:t>
            </w:r>
          </w:p>
        </w:tc>
        <w:tc>
          <w:tcPr>
            <w:tcW w:w="2563" w:type="dxa"/>
            <w:vMerge w:val="restart"/>
            <w:tcBorders>
              <w:bottom w:val="nil"/>
            </w:tcBorders>
          </w:tcPr>
          <w:p w14:paraId="46C19301">
            <w:pPr>
              <w:spacing w:before="234" w:line="228" w:lineRule="auto"/>
              <w:ind w:left="886"/>
              <w:rPr>
                <w:rFonts w:ascii="黑体" w:hAnsi="黑体" w:eastAsia="黑体" w:cs="黑体"/>
                <w:sz w:val="19"/>
                <w:szCs w:val="19"/>
              </w:rPr>
            </w:pPr>
            <w:r>
              <w:rPr>
                <w:rFonts w:ascii="黑体" w:hAnsi="黑体" w:eastAsia="黑体" w:cs="黑体"/>
                <w:spacing w:val="8"/>
                <w:sz w:val="19"/>
                <w:szCs w:val="19"/>
              </w:rPr>
              <w:t>指标解释</w:t>
            </w:r>
          </w:p>
        </w:tc>
        <w:tc>
          <w:tcPr>
            <w:tcW w:w="3808" w:type="dxa"/>
            <w:vMerge w:val="restart"/>
            <w:tcBorders>
              <w:bottom w:val="nil"/>
            </w:tcBorders>
          </w:tcPr>
          <w:p w14:paraId="481898FE">
            <w:pPr>
              <w:spacing w:before="234" w:line="228" w:lineRule="auto"/>
              <w:ind w:left="1510"/>
              <w:rPr>
                <w:rFonts w:ascii="黑体" w:hAnsi="黑体" w:eastAsia="黑体" w:cs="黑体"/>
                <w:sz w:val="19"/>
                <w:szCs w:val="19"/>
              </w:rPr>
            </w:pPr>
            <w:r>
              <w:rPr>
                <w:rFonts w:ascii="黑体" w:hAnsi="黑体" w:eastAsia="黑体" w:cs="黑体"/>
                <w:spacing w:val="8"/>
                <w:sz w:val="19"/>
                <w:szCs w:val="19"/>
              </w:rPr>
              <w:t>评价标准</w:t>
            </w:r>
          </w:p>
        </w:tc>
        <w:tc>
          <w:tcPr>
            <w:tcW w:w="801" w:type="dxa"/>
            <w:vMerge w:val="restart"/>
            <w:tcBorders>
              <w:bottom w:val="nil"/>
            </w:tcBorders>
          </w:tcPr>
          <w:p w14:paraId="475D907F">
            <w:pPr>
              <w:spacing w:before="234" w:line="230" w:lineRule="auto"/>
              <w:ind w:left="207"/>
              <w:rPr>
                <w:rFonts w:ascii="黑体" w:hAnsi="黑体" w:eastAsia="黑体" w:cs="黑体"/>
                <w:sz w:val="19"/>
                <w:szCs w:val="19"/>
              </w:rPr>
            </w:pPr>
            <w:r>
              <w:rPr>
                <w:rFonts w:ascii="黑体" w:hAnsi="黑体" w:eastAsia="黑体" w:cs="黑体"/>
                <w:spacing w:val="7"/>
                <w:sz w:val="19"/>
                <w:szCs w:val="19"/>
              </w:rPr>
              <w:t>权重</w:t>
            </w:r>
          </w:p>
        </w:tc>
        <w:tc>
          <w:tcPr>
            <w:tcW w:w="809" w:type="dxa"/>
            <w:vMerge w:val="restart"/>
            <w:tcBorders>
              <w:bottom w:val="nil"/>
            </w:tcBorders>
          </w:tcPr>
          <w:p w14:paraId="2E6B034D">
            <w:pPr>
              <w:spacing w:before="234" w:line="228" w:lineRule="auto"/>
              <w:ind w:left="210"/>
              <w:rPr>
                <w:rFonts w:ascii="黑体" w:hAnsi="黑体" w:eastAsia="黑体" w:cs="黑体"/>
                <w:sz w:val="19"/>
                <w:szCs w:val="19"/>
              </w:rPr>
            </w:pPr>
            <w:r>
              <w:rPr>
                <w:rFonts w:ascii="黑体" w:hAnsi="黑体" w:eastAsia="黑体" w:cs="黑体"/>
                <w:spacing w:val="6"/>
                <w:sz w:val="19"/>
                <w:szCs w:val="19"/>
              </w:rPr>
              <w:t>得分</w:t>
            </w:r>
          </w:p>
        </w:tc>
      </w:tr>
      <w:tr w14:paraId="298853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1713" w:type="dxa"/>
            <w:tcBorders>
              <w:top w:val="single" w:color="auto" w:sz="4" w:space="0"/>
              <w:left w:val="single" w:color="auto" w:sz="4" w:space="0"/>
            </w:tcBorders>
          </w:tcPr>
          <w:p w14:paraId="717DC274">
            <w:pPr>
              <w:spacing w:before="69" w:line="227" w:lineRule="auto"/>
              <w:ind w:left="464"/>
              <w:rPr>
                <w:rFonts w:ascii="黑体" w:hAnsi="黑体" w:eastAsia="黑体" w:cs="黑体"/>
                <w:sz w:val="19"/>
                <w:szCs w:val="19"/>
              </w:rPr>
            </w:pPr>
            <w:r>
              <w:rPr>
                <w:rFonts w:ascii="黑体" w:hAnsi="黑体" w:eastAsia="黑体" w:cs="黑体"/>
                <w:spacing w:val="7"/>
                <w:sz w:val="19"/>
                <w:szCs w:val="19"/>
              </w:rPr>
              <w:t>一级指标</w:t>
            </w:r>
          </w:p>
        </w:tc>
        <w:tc>
          <w:tcPr>
            <w:tcW w:w="1526" w:type="dxa"/>
            <w:tcBorders>
              <w:top w:val="single" w:color="auto" w:sz="4" w:space="0"/>
              <w:right w:val="single" w:color="auto" w:sz="4" w:space="0"/>
            </w:tcBorders>
          </w:tcPr>
          <w:p w14:paraId="656ED548">
            <w:pPr>
              <w:spacing w:before="69" w:line="227" w:lineRule="auto"/>
              <w:ind w:left="369"/>
              <w:rPr>
                <w:rFonts w:ascii="黑体" w:hAnsi="黑体" w:eastAsia="黑体" w:cs="黑体"/>
                <w:sz w:val="19"/>
                <w:szCs w:val="19"/>
              </w:rPr>
            </w:pPr>
            <w:r>
              <w:rPr>
                <w:rFonts w:ascii="黑体" w:hAnsi="黑体" w:eastAsia="黑体" w:cs="黑体"/>
                <w:spacing w:val="7"/>
                <w:sz w:val="19"/>
                <w:szCs w:val="19"/>
              </w:rPr>
              <w:t>二级指标</w:t>
            </w:r>
          </w:p>
        </w:tc>
        <w:tc>
          <w:tcPr>
            <w:tcW w:w="1507" w:type="dxa"/>
            <w:tcBorders>
              <w:left w:val="single" w:color="auto" w:sz="4" w:space="0"/>
            </w:tcBorders>
          </w:tcPr>
          <w:p w14:paraId="5B0434CB">
            <w:pPr>
              <w:spacing w:before="69" w:line="227" w:lineRule="auto"/>
              <w:ind w:left="363"/>
              <w:rPr>
                <w:rFonts w:ascii="黑体" w:hAnsi="黑体" w:eastAsia="黑体" w:cs="黑体"/>
                <w:sz w:val="19"/>
                <w:szCs w:val="19"/>
              </w:rPr>
            </w:pPr>
            <w:r>
              <w:rPr>
                <w:rFonts w:ascii="黑体" w:hAnsi="黑体" w:eastAsia="黑体" w:cs="黑体"/>
                <w:spacing w:val="7"/>
                <w:sz w:val="19"/>
                <w:szCs w:val="19"/>
              </w:rPr>
              <w:t>三级指</w:t>
            </w:r>
            <w:r>
              <w:rPr>
                <w:rFonts w:ascii="黑体" w:hAnsi="黑体" w:eastAsia="黑体" w:cs="黑体"/>
                <w:spacing w:val="6"/>
                <w:sz w:val="19"/>
                <w:szCs w:val="19"/>
              </w:rPr>
              <w:t>标</w:t>
            </w:r>
          </w:p>
        </w:tc>
        <w:tc>
          <w:tcPr>
            <w:tcW w:w="1228" w:type="dxa"/>
            <w:vMerge w:val="continue"/>
            <w:tcBorders>
              <w:top w:val="nil"/>
            </w:tcBorders>
          </w:tcPr>
          <w:p w14:paraId="4ECD31C1">
            <w:pPr>
              <w:rPr>
                <w:rFonts w:ascii="Arial"/>
              </w:rPr>
            </w:pPr>
          </w:p>
        </w:tc>
        <w:tc>
          <w:tcPr>
            <w:tcW w:w="2563" w:type="dxa"/>
            <w:vMerge w:val="continue"/>
            <w:tcBorders>
              <w:top w:val="nil"/>
            </w:tcBorders>
          </w:tcPr>
          <w:p w14:paraId="063195AF">
            <w:pPr>
              <w:rPr>
                <w:rFonts w:ascii="Arial"/>
              </w:rPr>
            </w:pPr>
          </w:p>
        </w:tc>
        <w:tc>
          <w:tcPr>
            <w:tcW w:w="3808" w:type="dxa"/>
            <w:vMerge w:val="continue"/>
            <w:tcBorders>
              <w:top w:val="nil"/>
            </w:tcBorders>
          </w:tcPr>
          <w:p w14:paraId="7B8EC918">
            <w:pPr>
              <w:rPr>
                <w:rFonts w:ascii="Arial"/>
              </w:rPr>
            </w:pPr>
          </w:p>
        </w:tc>
        <w:tc>
          <w:tcPr>
            <w:tcW w:w="801" w:type="dxa"/>
            <w:vMerge w:val="continue"/>
            <w:tcBorders>
              <w:top w:val="nil"/>
            </w:tcBorders>
          </w:tcPr>
          <w:p w14:paraId="5CE4CA6F">
            <w:pPr>
              <w:rPr>
                <w:rFonts w:ascii="Arial"/>
              </w:rPr>
            </w:pPr>
          </w:p>
        </w:tc>
        <w:tc>
          <w:tcPr>
            <w:tcW w:w="809" w:type="dxa"/>
            <w:vMerge w:val="continue"/>
            <w:tcBorders>
              <w:top w:val="nil"/>
            </w:tcBorders>
          </w:tcPr>
          <w:p w14:paraId="26CFDE3D">
            <w:pPr>
              <w:rPr>
                <w:rFonts w:ascii="Arial"/>
              </w:rPr>
            </w:pPr>
          </w:p>
        </w:tc>
      </w:tr>
      <w:tr w14:paraId="009783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1" w:hRule="atLeast"/>
        </w:trPr>
        <w:tc>
          <w:tcPr>
            <w:tcW w:w="1713" w:type="dxa"/>
            <w:vMerge w:val="restart"/>
            <w:tcBorders>
              <w:left w:val="single" w:color="auto" w:sz="4" w:space="0"/>
              <w:bottom w:val="single" w:color="auto" w:sz="4" w:space="0"/>
            </w:tcBorders>
          </w:tcPr>
          <w:p w14:paraId="55222D48">
            <w:pPr>
              <w:rPr>
                <w:rFonts w:ascii="Arial"/>
              </w:rPr>
            </w:pPr>
          </w:p>
          <w:p w14:paraId="5C8689C1">
            <w:pPr>
              <w:rPr>
                <w:rFonts w:ascii="Arial" w:hAnsi="Arial" w:eastAsia="Arial" w:cs="Arial"/>
                <w:snapToGrid w:val="0"/>
                <w:color w:val="000000"/>
                <w:kern w:val="0"/>
                <w:szCs w:val="21"/>
              </w:rPr>
            </w:pPr>
          </w:p>
          <w:p w14:paraId="4DE7CCBF"/>
          <w:p w14:paraId="30316A27"/>
          <w:p w14:paraId="5DE3C8DC"/>
          <w:p w14:paraId="37942737"/>
          <w:p w14:paraId="4F756B9D"/>
          <w:p w14:paraId="1E6100F7"/>
          <w:p w14:paraId="22F9CF76"/>
          <w:p w14:paraId="6C5B112F"/>
          <w:p w14:paraId="1D74F001"/>
          <w:p w14:paraId="32F847DB">
            <w:pPr>
              <w:spacing w:before="62" w:line="312" w:lineRule="exact"/>
              <w:ind w:left="108"/>
              <w:jc w:val="center"/>
              <w:rPr>
                <w:rFonts w:ascii="仿宋" w:hAnsi="仿宋" w:eastAsia="仿宋" w:cs="仿宋"/>
                <w:position w:val="8"/>
                <w:sz w:val="19"/>
                <w:szCs w:val="19"/>
              </w:rPr>
            </w:pPr>
          </w:p>
          <w:p w14:paraId="25860E0A">
            <w:pPr>
              <w:spacing w:before="62" w:line="312" w:lineRule="exact"/>
              <w:ind w:left="108"/>
              <w:jc w:val="center"/>
              <w:rPr>
                <w:rFonts w:ascii="仿宋" w:hAnsi="仿宋" w:eastAsia="仿宋" w:cs="仿宋"/>
                <w:position w:val="8"/>
                <w:sz w:val="19"/>
                <w:szCs w:val="19"/>
              </w:rPr>
            </w:pPr>
          </w:p>
          <w:p w14:paraId="0DCDA0FB">
            <w:pPr>
              <w:spacing w:before="62" w:line="312" w:lineRule="exact"/>
              <w:ind w:left="108"/>
              <w:jc w:val="center"/>
              <w:rPr>
                <w:rFonts w:ascii="仿宋" w:hAnsi="仿宋" w:eastAsia="仿宋" w:cs="仿宋"/>
                <w:sz w:val="19"/>
                <w:szCs w:val="19"/>
              </w:rPr>
            </w:pPr>
            <w:r>
              <w:rPr>
                <w:rFonts w:hint="eastAsia" w:ascii="仿宋" w:hAnsi="仿宋" w:eastAsia="仿宋" w:cs="仿宋"/>
                <w:position w:val="8"/>
                <w:sz w:val="19"/>
                <w:szCs w:val="19"/>
              </w:rPr>
              <w:t>B过程</w:t>
            </w:r>
          </w:p>
          <w:p w14:paraId="6F00A1E6">
            <w:pPr>
              <w:jc w:val="center"/>
              <w:rPr>
                <w:rFonts w:eastAsia="宋体"/>
              </w:rPr>
            </w:pPr>
            <w:r>
              <w:rPr>
                <w:rFonts w:ascii="仿宋" w:hAnsi="仿宋" w:eastAsia="仿宋" w:cs="仿宋"/>
                <w:spacing w:val="-6"/>
                <w:sz w:val="19"/>
                <w:szCs w:val="19"/>
              </w:rPr>
              <w:t>(</w:t>
            </w:r>
            <w:r>
              <w:rPr>
                <w:rFonts w:hint="eastAsia" w:ascii="仿宋" w:hAnsi="仿宋" w:eastAsia="仿宋" w:cs="仿宋"/>
                <w:spacing w:val="-5"/>
                <w:sz w:val="19"/>
                <w:szCs w:val="19"/>
              </w:rPr>
              <w:t>50</w:t>
            </w:r>
            <w:r>
              <w:rPr>
                <w:rFonts w:ascii="仿宋" w:hAnsi="仿宋" w:eastAsia="仿宋" w:cs="仿宋"/>
                <w:spacing w:val="-5"/>
                <w:sz w:val="19"/>
                <w:szCs w:val="19"/>
              </w:rPr>
              <w:t xml:space="preserve"> 分)</w:t>
            </w:r>
          </w:p>
        </w:tc>
        <w:tc>
          <w:tcPr>
            <w:tcW w:w="1526" w:type="dxa"/>
            <w:vMerge w:val="restart"/>
            <w:tcBorders>
              <w:bottom w:val="single" w:color="auto" w:sz="4" w:space="0"/>
              <w:right w:val="single" w:color="auto" w:sz="4" w:space="0"/>
            </w:tcBorders>
            <w:vAlign w:val="center"/>
          </w:tcPr>
          <w:p w14:paraId="4D5A1F3E">
            <w:pPr>
              <w:spacing w:before="62" w:line="312" w:lineRule="exact"/>
              <w:ind w:firstLine="190" w:firstLineChars="100"/>
              <w:rPr>
                <w:rFonts w:ascii="仿宋" w:hAnsi="仿宋" w:eastAsia="仿宋" w:cs="仿宋"/>
                <w:sz w:val="19"/>
                <w:szCs w:val="19"/>
              </w:rPr>
            </w:pPr>
            <w:r>
              <w:rPr>
                <w:rFonts w:ascii="仿宋" w:hAnsi="仿宋" w:eastAsia="仿宋" w:cs="仿宋"/>
                <w:position w:val="8"/>
                <w:sz w:val="19"/>
                <w:szCs w:val="19"/>
              </w:rPr>
              <w:t>B</w:t>
            </w:r>
            <w:r>
              <w:rPr>
                <w:rFonts w:hint="eastAsia" w:ascii="仿宋" w:hAnsi="仿宋" w:eastAsia="仿宋" w:cs="仿宋"/>
                <w:spacing w:val="1"/>
                <w:position w:val="8"/>
                <w:sz w:val="19"/>
                <w:szCs w:val="19"/>
              </w:rPr>
              <w:t>1预算执行</w:t>
            </w:r>
          </w:p>
          <w:p w14:paraId="07C32EAD">
            <w:pPr>
              <w:jc w:val="center"/>
              <w:rPr>
                <w:rFonts w:eastAsia="宋体"/>
              </w:rPr>
            </w:pPr>
            <w:r>
              <w:rPr>
                <w:rFonts w:ascii="仿宋" w:hAnsi="仿宋" w:eastAsia="仿宋" w:cs="仿宋"/>
                <w:spacing w:val="11"/>
                <w:sz w:val="19"/>
                <w:szCs w:val="19"/>
              </w:rPr>
              <w:t>(</w:t>
            </w:r>
            <w:r>
              <w:rPr>
                <w:rFonts w:hint="eastAsia" w:ascii="仿宋" w:hAnsi="仿宋" w:eastAsia="仿宋" w:cs="仿宋"/>
                <w:spacing w:val="11"/>
                <w:sz w:val="19"/>
                <w:szCs w:val="19"/>
              </w:rPr>
              <w:t>12</w:t>
            </w:r>
            <w:r>
              <w:rPr>
                <w:rFonts w:ascii="仿宋" w:hAnsi="仿宋" w:eastAsia="仿宋" w:cs="仿宋"/>
                <w:spacing w:val="11"/>
                <w:sz w:val="19"/>
                <w:szCs w:val="19"/>
              </w:rPr>
              <w:t xml:space="preserve"> 分</w:t>
            </w:r>
            <w:r>
              <w:rPr>
                <w:rFonts w:ascii="仿宋" w:hAnsi="仿宋" w:eastAsia="仿宋" w:cs="仿宋"/>
                <w:spacing w:val="10"/>
                <w:sz w:val="19"/>
                <w:szCs w:val="19"/>
              </w:rPr>
              <w:t>)</w:t>
            </w:r>
          </w:p>
        </w:tc>
        <w:tc>
          <w:tcPr>
            <w:tcW w:w="1507" w:type="dxa"/>
            <w:tcBorders>
              <w:left w:val="single" w:color="auto" w:sz="4" w:space="0"/>
            </w:tcBorders>
            <w:vAlign w:val="center"/>
          </w:tcPr>
          <w:p w14:paraId="407E014B">
            <w:pPr>
              <w:jc w:val="center"/>
              <w:rPr>
                <w:rFonts w:ascii="Arial"/>
              </w:rPr>
            </w:pPr>
          </w:p>
          <w:p w14:paraId="6CB31023">
            <w:pPr>
              <w:jc w:val="center"/>
              <w:rPr>
                <w:rFonts w:ascii="Arial" w:hAnsi="Arial" w:eastAsia="仿宋" w:cs="Arial"/>
                <w:snapToGrid w:val="0"/>
                <w:color w:val="000000"/>
                <w:kern w:val="0"/>
                <w:szCs w:val="21"/>
              </w:rPr>
            </w:pPr>
            <w:r>
              <w:rPr>
                <w:rFonts w:ascii="仿宋" w:hAnsi="仿宋" w:eastAsia="仿宋" w:cs="仿宋"/>
                <w:spacing w:val="-4"/>
                <w:sz w:val="19"/>
                <w:szCs w:val="19"/>
              </w:rPr>
              <w:t>B</w:t>
            </w:r>
            <w:r>
              <w:rPr>
                <w:rFonts w:ascii="仿宋" w:hAnsi="仿宋" w:eastAsia="仿宋" w:cs="仿宋"/>
                <w:spacing w:val="-7"/>
                <w:sz w:val="19"/>
                <w:szCs w:val="19"/>
              </w:rPr>
              <w:t>1</w:t>
            </w:r>
            <w:r>
              <w:rPr>
                <w:rFonts w:hint="eastAsia" w:ascii="仿宋" w:hAnsi="仿宋" w:eastAsia="仿宋" w:cs="仿宋"/>
                <w:spacing w:val="-4"/>
                <w:sz w:val="19"/>
                <w:szCs w:val="19"/>
              </w:rPr>
              <w:t>1预算执行率</w:t>
            </w:r>
          </w:p>
        </w:tc>
        <w:tc>
          <w:tcPr>
            <w:tcW w:w="1228" w:type="dxa"/>
            <w:vAlign w:val="center"/>
          </w:tcPr>
          <w:p w14:paraId="65A08EB0">
            <w:pPr>
              <w:jc w:val="center"/>
              <w:rPr>
                <w:rFonts w:ascii="Arial"/>
              </w:rPr>
            </w:pPr>
          </w:p>
          <w:p w14:paraId="3231A384">
            <w:pPr>
              <w:jc w:val="center"/>
              <w:rPr>
                <w:rFonts w:ascii="Arial" w:hAnsi="Arial" w:eastAsia="宋体" w:cs="Arial"/>
                <w:snapToGrid w:val="0"/>
                <w:color w:val="000000"/>
                <w:kern w:val="0"/>
                <w:szCs w:val="21"/>
              </w:rPr>
            </w:pPr>
            <w:r>
              <w:rPr>
                <w:rFonts w:hint="eastAsia" w:ascii="仿宋" w:hAnsi="仿宋" w:eastAsia="仿宋" w:cs="仿宋"/>
                <w:spacing w:val="4"/>
                <w:sz w:val="19"/>
                <w:szCs w:val="19"/>
              </w:rPr>
              <w:t>100%</w:t>
            </w:r>
          </w:p>
        </w:tc>
        <w:tc>
          <w:tcPr>
            <w:tcW w:w="2563" w:type="dxa"/>
          </w:tcPr>
          <w:p w14:paraId="54D9EC21">
            <w:pPr>
              <w:jc w:val="left"/>
              <w:rPr>
                <w:rFonts w:ascii="Arial"/>
              </w:rPr>
            </w:pPr>
          </w:p>
          <w:p w14:paraId="1F8DA0D2">
            <w:pPr>
              <w:ind w:firstLine="196" w:firstLineChars="100"/>
              <w:jc w:val="left"/>
              <w:rPr>
                <w:rFonts w:ascii="Arial" w:hAnsi="Arial" w:eastAsia="宋体" w:cs="Arial"/>
                <w:snapToGrid w:val="0"/>
                <w:color w:val="000000"/>
                <w:kern w:val="0"/>
                <w:szCs w:val="21"/>
              </w:rPr>
            </w:pPr>
            <w:r>
              <w:rPr>
                <w:rFonts w:hint="eastAsia" w:ascii="仿宋" w:hAnsi="仿宋" w:eastAsia="仿宋" w:cs="仿宋"/>
                <w:spacing w:val="3"/>
                <w:sz w:val="19"/>
                <w:szCs w:val="19"/>
              </w:rPr>
              <w:t>考察部门年度预算执行情况。</w:t>
            </w:r>
          </w:p>
        </w:tc>
        <w:tc>
          <w:tcPr>
            <w:tcW w:w="3808" w:type="dxa"/>
          </w:tcPr>
          <w:p w14:paraId="3542BFBC">
            <w:pPr>
              <w:spacing w:before="54" w:line="226" w:lineRule="auto"/>
              <w:ind w:left="121"/>
              <w:rPr>
                <w:rFonts w:ascii="仿宋" w:hAnsi="仿宋" w:eastAsia="仿宋" w:cs="仿宋"/>
                <w:sz w:val="19"/>
                <w:szCs w:val="19"/>
              </w:rPr>
            </w:pPr>
            <w:r>
              <w:rPr>
                <w:rFonts w:hint="eastAsia" w:ascii="仿宋" w:hAnsi="仿宋" w:eastAsia="仿宋" w:cs="仿宋"/>
                <w:spacing w:val="7"/>
                <w:sz w:val="19"/>
                <w:szCs w:val="19"/>
              </w:rPr>
              <w:t>部门预算执行率= (部门实际支出额/部门 预算资金总额) ×100%。执行率达 100%得</w:t>
            </w:r>
            <w:r>
              <w:rPr>
                <w:rFonts w:ascii="仿宋" w:hAnsi="仿宋" w:eastAsia="仿宋" w:cs="仿宋"/>
                <w:spacing w:val="7"/>
                <w:sz w:val="19"/>
                <w:szCs w:val="19"/>
              </w:rPr>
              <w:t>对应权重分，否则按比例计算得分。</w:t>
            </w:r>
          </w:p>
        </w:tc>
        <w:tc>
          <w:tcPr>
            <w:tcW w:w="801" w:type="dxa"/>
            <w:vAlign w:val="center"/>
          </w:tcPr>
          <w:p w14:paraId="547A247F">
            <w:pPr>
              <w:spacing w:before="62" w:line="185" w:lineRule="auto"/>
              <w:jc w:val="center"/>
              <w:rPr>
                <w:rFonts w:ascii="仿宋" w:hAnsi="仿宋" w:eastAsia="仿宋" w:cs="仿宋"/>
                <w:snapToGrid w:val="0"/>
                <w:color w:val="000000"/>
                <w:kern w:val="0"/>
                <w:sz w:val="19"/>
                <w:szCs w:val="19"/>
              </w:rPr>
            </w:pPr>
            <w:r>
              <w:rPr>
                <w:rFonts w:hint="eastAsia" w:ascii="仿宋" w:hAnsi="仿宋" w:eastAsia="仿宋" w:cs="仿宋"/>
                <w:sz w:val="19"/>
                <w:szCs w:val="19"/>
              </w:rPr>
              <w:t>2</w:t>
            </w:r>
          </w:p>
        </w:tc>
        <w:tc>
          <w:tcPr>
            <w:tcW w:w="809" w:type="dxa"/>
            <w:vAlign w:val="center"/>
          </w:tcPr>
          <w:p w14:paraId="26EE1CE7">
            <w:pPr>
              <w:spacing w:before="62" w:line="185" w:lineRule="auto"/>
              <w:jc w:val="center"/>
              <w:rPr>
                <w:rFonts w:ascii="仿宋" w:hAnsi="仿宋" w:eastAsia="仿宋" w:cs="仿宋"/>
                <w:snapToGrid w:val="0"/>
                <w:color w:val="000000"/>
                <w:kern w:val="0"/>
                <w:sz w:val="19"/>
                <w:szCs w:val="19"/>
              </w:rPr>
            </w:pPr>
            <w:r>
              <w:rPr>
                <w:rFonts w:hint="eastAsia" w:ascii="仿宋" w:hAnsi="仿宋" w:eastAsia="仿宋" w:cs="仿宋"/>
                <w:sz w:val="19"/>
                <w:szCs w:val="19"/>
              </w:rPr>
              <w:t>1.92</w:t>
            </w:r>
          </w:p>
        </w:tc>
      </w:tr>
      <w:tr w14:paraId="4210E6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trPr>
        <w:tc>
          <w:tcPr>
            <w:tcW w:w="1713" w:type="dxa"/>
            <w:vMerge w:val="continue"/>
            <w:tcBorders>
              <w:top w:val="single" w:color="auto" w:sz="4" w:space="0"/>
              <w:left w:val="single" w:color="auto" w:sz="4" w:space="0"/>
              <w:bottom w:val="single" w:color="auto" w:sz="4" w:space="0"/>
            </w:tcBorders>
          </w:tcPr>
          <w:p w14:paraId="4D155F6C">
            <w:pPr>
              <w:rPr>
                <w:rFonts w:ascii="Arial"/>
              </w:rPr>
            </w:pPr>
          </w:p>
        </w:tc>
        <w:tc>
          <w:tcPr>
            <w:tcW w:w="1526" w:type="dxa"/>
            <w:vMerge w:val="continue"/>
            <w:tcBorders>
              <w:top w:val="single" w:color="auto" w:sz="4" w:space="0"/>
              <w:bottom w:val="single" w:color="auto" w:sz="4" w:space="0"/>
              <w:right w:val="single" w:color="auto" w:sz="4" w:space="0"/>
            </w:tcBorders>
          </w:tcPr>
          <w:p w14:paraId="0393389D">
            <w:pPr>
              <w:rPr>
                <w:rFonts w:ascii="Arial"/>
              </w:rPr>
            </w:pPr>
          </w:p>
        </w:tc>
        <w:tc>
          <w:tcPr>
            <w:tcW w:w="1507" w:type="dxa"/>
            <w:tcBorders>
              <w:left w:val="single" w:color="auto" w:sz="4" w:space="0"/>
            </w:tcBorders>
            <w:vAlign w:val="center"/>
          </w:tcPr>
          <w:p w14:paraId="7A7B229A">
            <w:pPr>
              <w:spacing w:before="61" w:line="314" w:lineRule="auto"/>
              <w:ind w:right="103"/>
              <w:jc w:val="center"/>
              <w:rPr>
                <w:rFonts w:ascii="仿宋" w:hAnsi="仿宋" w:eastAsia="仿宋" w:cs="仿宋"/>
                <w:sz w:val="19"/>
                <w:szCs w:val="19"/>
              </w:rPr>
            </w:pPr>
            <w:r>
              <w:rPr>
                <w:rFonts w:ascii="仿宋" w:hAnsi="仿宋" w:eastAsia="仿宋" w:cs="仿宋"/>
                <w:spacing w:val="-4"/>
                <w:sz w:val="19"/>
                <w:szCs w:val="19"/>
              </w:rPr>
              <w:t>B</w:t>
            </w:r>
            <w:r>
              <w:rPr>
                <w:rFonts w:ascii="仿宋" w:hAnsi="仿宋" w:eastAsia="仿宋" w:cs="仿宋"/>
                <w:spacing w:val="-7"/>
                <w:sz w:val="19"/>
                <w:szCs w:val="19"/>
              </w:rPr>
              <w:t>1</w:t>
            </w:r>
            <w:r>
              <w:rPr>
                <w:rFonts w:ascii="仿宋" w:hAnsi="仿宋" w:eastAsia="仿宋" w:cs="仿宋"/>
                <w:spacing w:val="-4"/>
                <w:sz w:val="19"/>
                <w:szCs w:val="19"/>
              </w:rPr>
              <w:t>2 “三公”经</w:t>
            </w:r>
            <w:r>
              <w:rPr>
                <w:rFonts w:ascii="仿宋" w:hAnsi="仿宋" w:eastAsia="仿宋" w:cs="仿宋"/>
                <w:spacing w:val="5"/>
                <w:sz w:val="19"/>
                <w:szCs w:val="19"/>
              </w:rPr>
              <w:t>费</w:t>
            </w:r>
            <w:r>
              <w:rPr>
                <w:rFonts w:hint="eastAsia" w:ascii="仿宋" w:hAnsi="仿宋" w:eastAsia="仿宋" w:cs="仿宋"/>
                <w:spacing w:val="5"/>
                <w:sz w:val="19"/>
                <w:szCs w:val="19"/>
              </w:rPr>
              <w:t>变动率</w:t>
            </w:r>
          </w:p>
        </w:tc>
        <w:tc>
          <w:tcPr>
            <w:tcW w:w="1228" w:type="dxa"/>
            <w:vAlign w:val="center"/>
          </w:tcPr>
          <w:p w14:paraId="6D56BC8A">
            <w:pPr>
              <w:spacing w:before="62" w:line="185" w:lineRule="auto"/>
              <w:jc w:val="center"/>
              <w:rPr>
                <w:rFonts w:ascii="仿宋" w:hAnsi="仿宋" w:eastAsia="仿宋" w:cs="仿宋"/>
                <w:sz w:val="19"/>
                <w:szCs w:val="19"/>
              </w:rPr>
            </w:pPr>
            <w:r>
              <w:rPr>
                <w:rFonts w:hint="eastAsia" w:ascii="仿宋" w:hAnsi="仿宋" w:eastAsia="仿宋" w:cs="仿宋"/>
                <w:sz w:val="19"/>
                <w:szCs w:val="19"/>
              </w:rPr>
              <w:t>0</w:t>
            </w:r>
          </w:p>
        </w:tc>
        <w:tc>
          <w:tcPr>
            <w:tcW w:w="2563" w:type="dxa"/>
          </w:tcPr>
          <w:p w14:paraId="59AF3FE5">
            <w:pPr>
              <w:spacing w:before="62" w:line="315" w:lineRule="auto"/>
              <w:ind w:right="42" w:firstLine="174" w:firstLineChars="100"/>
              <w:jc w:val="left"/>
              <w:rPr>
                <w:rFonts w:ascii="仿宋" w:hAnsi="仿宋" w:eastAsia="仿宋" w:cs="仿宋"/>
                <w:sz w:val="19"/>
                <w:szCs w:val="19"/>
              </w:rPr>
            </w:pPr>
            <w:r>
              <w:rPr>
                <w:rFonts w:ascii="仿宋" w:hAnsi="仿宋" w:eastAsia="仿宋" w:cs="仿宋"/>
                <w:spacing w:val="-8"/>
                <w:sz w:val="19"/>
                <w:szCs w:val="19"/>
              </w:rPr>
              <w:t>“</w:t>
            </w:r>
            <w:r>
              <w:rPr>
                <w:rFonts w:ascii="仿宋" w:hAnsi="仿宋" w:eastAsia="仿宋" w:cs="仿宋"/>
                <w:spacing w:val="-6"/>
                <w:sz w:val="19"/>
                <w:szCs w:val="19"/>
              </w:rPr>
              <w:t>三</w:t>
            </w:r>
            <w:r>
              <w:rPr>
                <w:rFonts w:ascii="仿宋" w:hAnsi="仿宋" w:eastAsia="仿宋" w:cs="仿宋"/>
                <w:spacing w:val="-4"/>
                <w:sz w:val="19"/>
                <w:szCs w:val="19"/>
              </w:rPr>
              <w:t>公”经费使用超支扣分，</w:t>
            </w:r>
            <w:r>
              <w:rPr>
                <w:rFonts w:ascii="仿宋" w:hAnsi="仿宋" w:eastAsia="仿宋" w:cs="仿宋"/>
                <w:spacing w:val="10"/>
                <w:sz w:val="19"/>
                <w:szCs w:val="19"/>
              </w:rPr>
              <w:t>若</w:t>
            </w:r>
            <w:r>
              <w:rPr>
                <w:rFonts w:ascii="仿宋" w:hAnsi="仿宋" w:eastAsia="仿宋" w:cs="仿宋"/>
                <w:spacing w:val="5"/>
                <w:sz w:val="19"/>
                <w:szCs w:val="19"/>
              </w:rPr>
              <w:t>不超支则不扣分。</w:t>
            </w:r>
          </w:p>
        </w:tc>
        <w:tc>
          <w:tcPr>
            <w:tcW w:w="3808" w:type="dxa"/>
          </w:tcPr>
          <w:p w14:paraId="3B968B78">
            <w:pPr>
              <w:spacing w:before="54" w:line="288" w:lineRule="auto"/>
              <w:ind w:left="118" w:hanging="15"/>
              <w:rPr>
                <w:rFonts w:ascii="仿宋" w:hAnsi="仿宋" w:eastAsia="仿宋" w:cs="仿宋"/>
                <w:sz w:val="19"/>
                <w:szCs w:val="19"/>
              </w:rPr>
            </w:pPr>
            <w:r>
              <w:rPr>
                <w:rFonts w:hint="eastAsia" w:ascii="仿宋" w:hAnsi="仿宋" w:eastAsia="仿宋" w:cs="仿宋"/>
                <w:sz w:val="19"/>
                <w:szCs w:val="19"/>
              </w:rPr>
              <w:t>“三公”经费控制率=“三公”经费 实际支出数/“三公”经费预算数×100%。达到目标值得满分，否则按比例计算得分。</w:t>
            </w:r>
          </w:p>
        </w:tc>
        <w:tc>
          <w:tcPr>
            <w:tcW w:w="801" w:type="dxa"/>
            <w:vAlign w:val="center"/>
          </w:tcPr>
          <w:p w14:paraId="060869D6">
            <w:pPr>
              <w:spacing w:before="62" w:line="185" w:lineRule="auto"/>
              <w:jc w:val="center"/>
              <w:rPr>
                <w:rFonts w:ascii="仿宋" w:hAnsi="仿宋" w:eastAsia="仿宋" w:cs="仿宋"/>
                <w:sz w:val="19"/>
                <w:szCs w:val="19"/>
              </w:rPr>
            </w:pPr>
            <w:r>
              <w:rPr>
                <w:rFonts w:hint="eastAsia" w:ascii="仿宋" w:hAnsi="仿宋" w:eastAsia="仿宋" w:cs="仿宋"/>
                <w:sz w:val="19"/>
                <w:szCs w:val="19"/>
              </w:rPr>
              <w:t>2</w:t>
            </w:r>
          </w:p>
        </w:tc>
        <w:tc>
          <w:tcPr>
            <w:tcW w:w="809" w:type="dxa"/>
            <w:vAlign w:val="center"/>
          </w:tcPr>
          <w:p w14:paraId="566FC3DF">
            <w:pPr>
              <w:spacing w:before="62" w:line="185" w:lineRule="auto"/>
              <w:jc w:val="center"/>
              <w:rPr>
                <w:rFonts w:ascii="仿宋" w:hAnsi="仿宋" w:eastAsia="仿宋" w:cs="仿宋"/>
                <w:sz w:val="19"/>
                <w:szCs w:val="19"/>
              </w:rPr>
            </w:pPr>
            <w:r>
              <w:rPr>
                <w:rFonts w:hint="eastAsia" w:ascii="仿宋" w:hAnsi="仿宋" w:eastAsia="仿宋" w:cs="仿宋"/>
                <w:sz w:val="19"/>
                <w:szCs w:val="19"/>
              </w:rPr>
              <w:t>2</w:t>
            </w:r>
          </w:p>
        </w:tc>
      </w:tr>
      <w:tr w14:paraId="49E4E5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1713" w:type="dxa"/>
            <w:vMerge w:val="continue"/>
            <w:tcBorders>
              <w:top w:val="single" w:color="auto" w:sz="4" w:space="0"/>
              <w:left w:val="single" w:color="auto" w:sz="4" w:space="0"/>
              <w:bottom w:val="single" w:color="auto" w:sz="4" w:space="0"/>
            </w:tcBorders>
          </w:tcPr>
          <w:p w14:paraId="0EFE31E1">
            <w:pPr>
              <w:rPr>
                <w:rFonts w:ascii="Arial"/>
              </w:rPr>
            </w:pPr>
          </w:p>
        </w:tc>
        <w:tc>
          <w:tcPr>
            <w:tcW w:w="1526" w:type="dxa"/>
            <w:vMerge w:val="continue"/>
            <w:tcBorders>
              <w:top w:val="single" w:color="auto" w:sz="4" w:space="0"/>
              <w:bottom w:val="single" w:color="auto" w:sz="4" w:space="0"/>
              <w:right w:val="single" w:color="auto" w:sz="4" w:space="0"/>
            </w:tcBorders>
          </w:tcPr>
          <w:p w14:paraId="3EF8F91C">
            <w:pPr>
              <w:rPr>
                <w:rFonts w:ascii="Arial"/>
              </w:rPr>
            </w:pPr>
          </w:p>
        </w:tc>
        <w:tc>
          <w:tcPr>
            <w:tcW w:w="1507" w:type="dxa"/>
            <w:tcBorders>
              <w:left w:val="single" w:color="auto" w:sz="4" w:space="0"/>
            </w:tcBorders>
            <w:vAlign w:val="center"/>
          </w:tcPr>
          <w:p w14:paraId="40B606A5">
            <w:pPr>
              <w:spacing w:line="305" w:lineRule="auto"/>
              <w:jc w:val="center"/>
              <w:rPr>
                <w:rFonts w:ascii="Arial"/>
              </w:rPr>
            </w:pPr>
          </w:p>
          <w:p w14:paraId="30B0FF10">
            <w:pPr>
              <w:spacing w:before="62" w:line="314" w:lineRule="auto"/>
              <w:ind w:right="104"/>
              <w:jc w:val="center"/>
              <w:rPr>
                <w:rFonts w:ascii="仿宋" w:hAnsi="仿宋" w:eastAsia="仿宋" w:cs="仿宋"/>
                <w:sz w:val="19"/>
                <w:szCs w:val="19"/>
              </w:rPr>
            </w:pPr>
            <w:r>
              <w:rPr>
                <w:rFonts w:ascii="仿宋" w:hAnsi="仿宋" w:eastAsia="仿宋" w:cs="仿宋"/>
                <w:sz w:val="19"/>
                <w:szCs w:val="19"/>
              </w:rPr>
              <w:t>B</w:t>
            </w:r>
            <w:r>
              <w:rPr>
                <w:rFonts w:ascii="仿宋" w:hAnsi="仿宋" w:eastAsia="仿宋" w:cs="仿宋"/>
                <w:spacing w:val="7"/>
                <w:sz w:val="19"/>
                <w:szCs w:val="19"/>
              </w:rPr>
              <w:t xml:space="preserve">13 </w:t>
            </w:r>
            <w:r>
              <w:rPr>
                <w:rFonts w:hint="eastAsia" w:ascii="仿宋" w:hAnsi="仿宋" w:eastAsia="仿宋" w:cs="仿宋"/>
                <w:spacing w:val="7"/>
                <w:sz w:val="19"/>
                <w:szCs w:val="19"/>
              </w:rPr>
              <w:t>政府采购执行率</w:t>
            </w:r>
          </w:p>
        </w:tc>
        <w:tc>
          <w:tcPr>
            <w:tcW w:w="1228" w:type="dxa"/>
            <w:vAlign w:val="center"/>
          </w:tcPr>
          <w:p w14:paraId="6AA6E59F">
            <w:pPr>
              <w:spacing w:before="62" w:line="230" w:lineRule="auto"/>
              <w:ind w:firstLine="396" w:firstLineChars="200"/>
              <w:rPr>
                <w:rFonts w:ascii="仿宋" w:hAnsi="仿宋" w:eastAsia="仿宋" w:cs="仿宋"/>
                <w:sz w:val="19"/>
                <w:szCs w:val="19"/>
              </w:rPr>
            </w:pPr>
            <w:r>
              <w:rPr>
                <w:rFonts w:hint="eastAsia" w:ascii="仿宋" w:hAnsi="仿宋" w:eastAsia="仿宋" w:cs="仿宋"/>
                <w:spacing w:val="4"/>
                <w:sz w:val="19"/>
                <w:szCs w:val="19"/>
              </w:rPr>
              <w:t>100%</w:t>
            </w:r>
          </w:p>
        </w:tc>
        <w:tc>
          <w:tcPr>
            <w:tcW w:w="2563" w:type="dxa"/>
          </w:tcPr>
          <w:p w14:paraId="571FAB5B">
            <w:pPr>
              <w:spacing w:before="211" w:line="311" w:lineRule="auto"/>
              <w:ind w:right="105" w:firstLine="204" w:firstLineChars="100"/>
              <w:jc w:val="left"/>
              <w:rPr>
                <w:rFonts w:ascii="仿宋" w:hAnsi="仿宋" w:eastAsia="仿宋" w:cs="仿宋"/>
                <w:sz w:val="19"/>
                <w:szCs w:val="19"/>
              </w:rPr>
            </w:pPr>
            <w:r>
              <w:rPr>
                <w:rFonts w:hint="eastAsia" w:ascii="仿宋" w:hAnsi="仿宋" w:eastAsia="仿宋" w:cs="仿宋"/>
                <w:spacing w:val="7"/>
                <w:sz w:val="19"/>
                <w:szCs w:val="19"/>
              </w:rPr>
              <w:t>考察部门年度政府执行情况。</w:t>
            </w:r>
          </w:p>
        </w:tc>
        <w:tc>
          <w:tcPr>
            <w:tcW w:w="3808" w:type="dxa"/>
          </w:tcPr>
          <w:p w14:paraId="5C23EF07">
            <w:pPr>
              <w:spacing w:before="59" w:line="265" w:lineRule="auto"/>
              <w:ind w:left="126" w:right="103" w:firstLine="13"/>
              <w:rPr>
                <w:rFonts w:ascii="仿宋" w:hAnsi="仿宋" w:eastAsia="仿宋" w:cs="仿宋"/>
                <w:sz w:val="19"/>
                <w:szCs w:val="19"/>
              </w:rPr>
            </w:pPr>
            <w:r>
              <w:rPr>
                <w:rFonts w:hint="eastAsia" w:ascii="仿宋" w:hAnsi="仿宋" w:eastAsia="仿宋" w:cs="仿宋"/>
                <w:spacing w:val="7"/>
                <w:sz w:val="19"/>
                <w:szCs w:val="19"/>
              </w:rPr>
              <w:t>部门政府采购执行率= (部门实际支出额/部门政府采购预算资金总额) ×100%。执行率达 100%得</w:t>
            </w:r>
            <w:r>
              <w:rPr>
                <w:rFonts w:ascii="仿宋" w:hAnsi="仿宋" w:eastAsia="仿宋" w:cs="仿宋"/>
                <w:spacing w:val="7"/>
                <w:sz w:val="19"/>
                <w:szCs w:val="19"/>
              </w:rPr>
              <w:t>对应权重分，否则按比例计算得分。</w:t>
            </w:r>
          </w:p>
        </w:tc>
        <w:tc>
          <w:tcPr>
            <w:tcW w:w="801" w:type="dxa"/>
            <w:vAlign w:val="center"/>
          </w:tcPr>
          <w:p w14:paraId="16E2E44D">
            <w:pPr>
              <w:spacing w:line="247" w:lineRule="auto"/>
              <w:jc w:val="center"/>
              <w:rPr>
                <w:rFonts w:ascii="Arial"/>
              </w:rPr>
            </w:pPr>
          </w:p>
          <w:p w14:paraId="45B94487">
            <w:pPr>
              <w:spacing w:before="62" w:line="185" w:lineRule="auto"/>
              <w:jc w:val="center"/>
              <w:rPr>
                <w:rFonts w:ascii="仿宋" w:hAnsi="仿宋" w:eastAsia="仿宋" w:cs="仿宋"/>
                <w:sz w:val="19"/>
                <w:szCs w:val="19"/>
              </w:rPr>
            </w:pPr>
            <w:r>
              <w:rPr>
                <w:rFonts w:hint="eastAsia" w:ascii="仿宋" w:hAnsi="仿宋" w:eastAsia="仿宋" w:cs="仿宋"/>
                <w:sz w:val="19"/>
                <w:szCs w:val="19"/>
              </w:rPr>
              <w:t>2</w:t>
            </w:r>
          </w:p>
        </w:tc>
        <w:tc>
          <w:tcPr>
            <w:tcW w:w="809" w:type="dxa"/>
            <w:vAlign w:val="center"/>
          </w:tcPr>
          <w:p w14:paraId="073D5692">
            <w:pPr>
              <w:spacing w:line="247" w:lineRule="auto"/>
              <w:jc w:val="center"/>
              <w:rPr>
                <w:rFonts w:ascii="Arial"/>
              </w:rPr>
            </w:pPr>
          </w:p>
          <w:p w14:paraId="50C0823F">
            <w:pPr>
              <w:spacing w:before="62" w:line="185" w:lineRule="auto"/>
              <w:jc w:val="center"/>
              <w:rPr>
                <w:rFonts w:ascii="仿宋" w:hAnsi="仿宋" w:eastAsia="仿宋" w:cs="仿宋"/>
                <w:sz w:val="19"/>
                <w:szCs w:val="19"/>
              </w:rPr>
            </w:pPr>
            <w:r>
              <w:rPr>
                <w:rFonts w:hint="eastAsia" w:ascii="仿宋" w:hAnsi="仿宋" w:eastAsia="仿宋" w:cs="仿宋"/>
                <w:sz w:val="19"/>
                <w:szCs w:val="19"/>
              </w:rPr>
              <w:t>2</w:t>
            </w:r>
          </w:p>
        </w:tc>
      </w:tr>
      <w:tr w14:paraId="330EC5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1" w:hRule="atLeast"/>
        </w:trPr>
        <w:tc>
          <w:tcPr>
            <w:tcW w:w="1713" w:type="dxa"/>
            <w:vMerge w:val="continue"/>
            <w:tcBorders>
              <w:top w:val="single" w:color="auto" w:sz="4" w:space="0"/>
              <w:left w:val="single" w:color="auto" w:sz="4" w:space="0"/>
              <w:bottom w:val="single" w:color="auto" w:sz="4" w:space="0"/>
            </w:tcBorders>
          </w:tcPr>
          <w:p w14:paraId="13EAE515">
            <w:pPr>
              <w:rPr>
                <w:rFonts w:ascii="Arial"/>
              </w:rPr>
            </w:pPr>
          </w:p>
        </w:tc>
        <w:tc>
          <w:tcPr>
            <w:tcW w:w="1526" w:type="dxa"/>
            <w:vMerge w:val="continue"/>
            <w:tcBorders>
              <w:top w:val="single" w:color="auto" w:sz="4" w:space="0"/>
              <w:bottom w:val="single" w:color="auto" w:sz="4" w:space="0"/>
              <w:right w:val="single" w:color="auto" w:sz="4" w:space="0"/>
            </w:tcBorders>
          </w:tcPr>
          <w:p w14:paraId="7C29417F">
            <w:pPr>
              <w:rPr>
                <w:rFonts w:ascii="Arial"/>
              </w:rPr>
            </w:pPr>
          </w:p>
        </w:tc>
        <w:tc>
          <w:tcPr>
            <w:tcW w:w="1507" w:type="dxa"/>
            <w:tcBorders>
              <w:left w:val="single" w:color="auto" w:sz="4" w:space="0"/>
            </w:tcBorders>
            <w:vAlign w:val="center"/>
          </w:tcPr>
          <w:p w14:paraId="3BA61A88">
            <w:pPr>
              <w:spacing w:before="62" w:line="314" w:lineRule="auto"/>
              <w:ind w:right="104"/>
              <w:jc w:val="center"/>
              <w:rPr>
                <w:rFonts w:ascii="仿宋" w:hAnsi="仿宋" w:eastAsia="仿宋" w:cs="仿宋"/>
                <w:sz w:val="19"/>
                <w:szCs w:val="19"/>
              </w:rPr>
            </w:pPr>
          </w:p>
          <w:p w14:paraId="2A41A2D0">
            <w:pPr>
              <w:spacing w:before="62" w:line="314" w:lineRule="auto"/>
              <w:ind w:right="104"/>
              <w:jc w:val="center"/>
              <w:rPr>
                <w:rFonts w:ascii="仿宋" w:hAnsi="仿宋" w:eastAsia="仿宋" w:cs="仿宋"/>
                <w:sz w:val="19"/>
                <w:szCs w:val="19"/>
              </w:rPr>
            </w:pPr>
            <w:r>
              <w:rPr>
                <w:rFonts w:ascii="仿宋" w:hAnsi="仿宋" w:eastAsia="仿宋" w:cs="仿宋"/>
                <w:sz w:val="19"/>
                <w:szCs w:val="19"/>
              </w:rPr>
              <w:t>B</w:t>
            </w:r>
            <w:r>
              <w:rPr>
                <w:rFonts w:ascii="仿宋" w:hAnsi="仿宋" w:eastAsia="仿宋" w:cs="仿宋"/>
                <w:spacing w:val="7"/>
                <w:sz w:val="19"/>
                <w:szCs w:val="19"/>
              </w:rPr>
              <w:t>1</w:t>
            </w:r>
            <w:r>
              <w:rPr>
                <w:rFonts w:hint="eastAsia" w:ascii="仿宋" w:hAnsi="仿宋" w:eastAsia="仿宋" w:cs="仿宋"/>
                <w:spacing w:val="7"/>
                <w:sz w:val="19"/>
                <w:szCs w:val="19"/>
              </w:rPr>
              <w:t>4结转结余率</w:t>
            </w:r>
          </w:p>
        </w:tc>
        <w:tc>
          <w:tcPr>
            <w:tcW w:w="1228" w:type="dxa"/>
            <w:vAlign w:val="center"/>
          </w:tcPr>
          <w:p w14:paraId="72339996">
            <w:pPr>
              <w:spacing w:before="62" w:line="230" w:lineRule="auto"/>
              <w:jc w:val="center"/>
              <w:rPr>
                <w:rFonts w:ascii="仿宋" w:hAnsi="仿宋" w:eastAsia="仿宋" w:cs="仿宋"/>
                <w:spacing w:val="4"/>
                <w:sz w:val="19"/>
                <w:szCs w:val="19"/>
              </w:rPr>
            </w:pPr>
          </w:p>
          <w:p w14:paraId="572C2036">
            <w:pPr>
              <w:spacing w:before="62" w:line="230" w:lineRule="auto"/>
              <w:jc w:val="center"/>
              <w:rPr>
                <w:rFonts w:ascii="仿宋" w:hAnsi="仿宋" w:eastAsia="仿宋" w:cs="仿宋"/>
                <w:spacing w:val="4"/>
                <w:sz w:val="19"/>
                <w:szCs w:val="19"/>
              </w:rPr>
            </w:pPr>
            <w:r>
              <w:rPr>
                <w:rFonts w:hint="eastAsia" w:ascii="仿宋" w:hAnsi="仿宋" w:eastAsia="仿宋" w:cs="仿宋"/>
                <w:spacing w:val="4"/>
                <w:sz w:val="19"/>
                <w:szCs w:val="19"/>
              </w:rPr>
              <w:t>0</w:t>
            </w:r>
          </w:p>
        </w:tc>
        <w:tc>
          <w:tcPr>
            <w:tcW w:w="2563" w:type="dxa"/>
          </w:tcPr>
          <w:p w14:paraId="02E910CE">
            <w:pPr>
              <w:spacing w:before="211" w:line="311" w:lineRule="auto"/>
              <w:ind w:right="105" w:firstLine="204" w:firstLineChars="100"/>
              <w:jc w:val="left"/>
              <w:rPr>
                <w:rFonts w:ascii="仿宋" w:hAnsi="仿宋" w:eastAsia="仿宋" w:cs="仿宋"/>
                <w:spacing w:val="7"/>
                <w:sz w:val="19"/>
                <w:szCs w:val="19"/>
              </w:rPr>
            </w:pPr>
            <w:r>
              <w:rPr>
                <w:rFonts w:hint="eastAsia" w:ascii="仿宋" w:hAnsi="仿宋" w:eastAsia="仿宋" w:cs="仿宋"/>
                <w:spacing w:val="7"/>
                <w:sz w:val="19"/>
                <w:szCs w:val="19"/>
              </w:rPr>
              <w:t>考察部门预算资金年末是否发生结余结转。</w:t>
            </w:r>
          </w:p>
        </w:tc>
        <w:tc>
          <w:tcPr>
            <w:tcW w:w="3808" w:type="dxa"/>
          </w:tcPr>
          <w:p w14:paraId="4EE199C3">
            <w:pPr>
              <w:spacing w:before="59" w:line="265" w:lineRule="auto"/>
              <w:ind w:left="126" w:right="103" w:firstLine="13"/>
              <w:rPr>
                <w:rFonts w:ascii="仿宋" w:hAnsi="仿宋" w:eastAsia="仿宋" w:cs="仿宋"/>
                <w:spacing w:val="7"/>
                <w:sz w:val="19"/>
                <w:szCs w:val="19"/>
              </w:rPr>
            </w:pPr>
            <w:r>
              <w:rPr>
                <w:rFonts w:hint="eastAsia" w:ascii="仿宋" w:hAnsi="仿宋" w:eastAsia="仿宋" w:cs="仿宋"/>
                <w:spacing w:val="7"/>
                <w:sz w:val="19"/>
                <w:szCs w:val="19"/>
              </w:rPr>
              <w:t>部门预算结余结转率= (部门实际支出额/部门预算资金总额) ×100%。结余结转率为0得</w:t>
            </w:r>
            <w:r>
              <w:rPr>
                <w:rFonts w:ascii="仿宋" w:hAnsi="仿宋" w:eastAsia="仿宋" w:cs="仿宋"/>
                <w:spacing w:val="7"/>
                <w:sz w:val="19"/>
                <w:szCs w:val="19"/>
              </w:rPr>
              <w:t>对应权重分，否则按比例计算得分。</w:t>
            </w:r>
          </w:p>
        </w:tc>
        <w:tc>
          <w:tcPr>
            <w:tcW w:w="801" w:type="dxa"/>
            <w:vAlign w:val="center"/>
          </w:tcPr>
          <w:p w14:paraId="49148590">
            <w:pPr>
              <w:spacing w:before="62" w:line="185" w:lineRule="auto"/>
              <w:jc w:val="center"/>
              <w:rPr>
                <w:rFonts w:ascii="仿宋" w:hAnsi="仿宋" w:eastAsia="仿宋" w:cs="仿宋"/>
                <w:sz w:val="19"/>
                <w:szCs w:val="19"/>
              </w:rPr>
            </w:pPr>
            <w:r>
              <w:rPr>
                <w:rFonts w:hint="eastAsia" w:ascii="仿宋" w:hAnsi="仿宋" w:eastAsia="仿宋" w:cs="仿宋"/>
                <w:sz w:val="19"/>
                <w:szCs w:val="19"/>
              </w:rPr>
              <w:t>1</w:t>
            </w:r>
          </w:p>
        </w:tc>
        <w:tc>
          <w:tcPr>
            <w:tcW w:w="809" w:type="dxa"/>
            <w:vAlign w:val="center"/>
          </w:tcPr>
          <w:p w14:paraId="204F4548">
            <w:pPr>
              <w:spacing w:before="62" w:line="185" w:lineRule="auto"/>
              <w:jc w:val="center"/>
              <w:rPr>
                <w:rFonts w:ascii="仿宋" w:hAnsi="仿宋" w:eastAsia="仿宋" w:cs="仿宋"/>
                <w:sz w:val="19"/>
                <w:szCs w:val="19"/>
              </w:rPr>
            </w:pPr>
            <w:r>
              <w:rPr>
                <w:rFonts w:hint="eastAsia" w:ascii="仿宋" w:hAnsi="仿宋" w:eastAsia="仿宋" w:cs="仿宋"/>
                <w:sz w:val="19"/>
                <w:szCs w:val="19"/>
              </w:rPr>
              <w:t>0.96</w:t>
            </w:r>
          </w:p>
        </w:tc>
      </w:tr>
      <w:tr w14:paraId="25FD7A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1713" w:type="dxa"/>
            <w:vMerge w:val="continue"/>
            <w:tcBorders>
              <w:top w:val="single" w:color="auto" w:sz="4" w:space="0"/>
              <w:left w:val="single" w:color="auto" w:sz="4" w:space="0"/>
              <w:bottom w:val="single" w:color="auto" w:sz="4" w:space="0"/>
            </w:tcBorders>
          </w:tcPr>
          <w:p w14:paraId="5B90EE8E">
            <w:pPr>
              <w:rPr>
                <w:rFonts w:ascii="Arial"/>
              </w:rPr>
            </w:pPr>
          </w:p>
        </w:tc>
        <w:tc>
          <w:tcPr>
            <w:tcW w:w="1526" w:type="dxa"/>
            <w:vMerge w:val="continue"/>
            <w:tcBorders>
              <w:top w:val="single" w:color="auto" w:sz="4" w:space="0"/>
              <w:bottom w:val="single" w:color="auto" w:sz="4" w:space="0"/>
              <w:right w:val="single" w:color="auto" w:sz="4" w:space="0"/>
            </w:tcBorders>
          </w:tcPr>
          <w:p w14:paraId="1858F6E1">
            <w:pPr>
              <w:rPr>
                <w:rFonts w:ascii="Arial"/>
              </w:rPr>
            </w:pPr>
          </w:p>
        </w:tc>
        <w:tc>
          <w:tcPr>
            <w:tcW w:w="1507" w:type="dxa"/>
            <w:tcBorders>
              <w:left w:val="single" w:color="auto" w:sz="4" w:space="0"/>
            </w:tcBorders>
            <w:vAlign w:val="center"/>
          </w:tcPr>
          <w:p w14:paraId="10F09989">
            <w:pPr>
              <w:spacing w:before="62" w:line="314" w:lineRule="auto"/>
              <w:ind w:right="104"/>
              <w:jc w:val="center"/>
              <w:rPr>
                <w:rFonts w:ascii="仿宋" w:hAnsi="仿宋" w:eastAsia="仿宋" w:cs="仿宋"/>
                <w:sz w:val="19"/>
                <w:szCs w:val="19"/>
              </w:rPr>
            </w:pPr>
            <w:r>
              <w:rPr>
                <w:rFonts w:ascii="仿宋" w:hAnsi="仿宋" w:eastAsia="仿宋" w:cs="仿宋"/>
                <w:sz w:val="19"/>
                <w:szCs w:val="19"/>
              </w:rPr>
              <w:t>B</w:t>
            </w:r>
            <w:r>
              <w:rPr>
                <w:rFonts w:ascii="仿宋" w:hAnsi="仿宋" w:eastAsia="仿宋" w:cs="仿宋"/>
                <w:spacing w:val="7"/>
                <w:sz w:val="19"/>
                <w:szCs w:val="19"/>
              </w:rPr>
              <w:t>1</w:t>
            </w:r>
            <w:r>
              <w:rPr>
                <w:rFonts w:hint="eastAsia" w:ascii="仿宋" w:hAnsi="仿宋" w:eastAsia="仿宋" w:cs="仿宋"/>
                <w:spacing w:val="7"/>
                <w:sz w:val="19"/>
                <w:szCs w:val="19"/>
              </w:rPr>
              <w:t xml:space="preserve">5 </w:t>
            </w:r>
            <w:r>
              <w:rPr>
                <w:rFonts w:hint="eastAsia" w:ascii="仿宋" w:hAnsi="仿宋" w:eastAsia="仿宋" w:cs="仿宋"/>
                <w:sz w:val="19"/>
                <w:szCs w:val="19"/>
              </w:rPr>
              <w:t>公用经费控制率</w:t>
            </w:r>
          </w:p>
        </w:tc>
        <w:tc>
          <w:tcPr>
            <w:tcW w:w="1228" w:type="dxa"/>
            <w:vAlign w:val="center"/>
          </w:tcPr>
          <w:p w14:paraId="36298F15">
            <w:pPr>
              <w:spacing w:before="62" w:line="230" w:lineRule="auto"/>
              <w:ind w:firstLine="206" w:firstLineChars="100"/>
              <w:rPr>
                <w:rFonts w:ascii="仿宋" w:hAnsi="仿宋" w:eastAsia="仿宋" w:cs="仿宋"/>
                <w:spacing w:val="4"/>
                <w:sz w:val="19"/>
                <w:szCs w:val="19"/>
              </w:rPr>
            </w:pPr>
            <w:r>
              <w:rPr>
                <w:rFonts w:hint="eastAsia" w:ascii="宋体" w:hAnsi="宋体" w:eastAsia="宋体" w:cs="宋体"/>
                <w:spacing w:val="8"/>
                <w:sz w:val="19"/>
                <w:szCs w:val="19"/>
              </w:rPr>
              <w:t>≦</w:t>
            </w:r>
            <w:r>
              <w:rPr>
                <w:rFonts w:hint="eastAsia" w:ascii="仿宋" w:hAnsi="仿宋" w:eastAsia="仿宋" w:cs="仿宋"/>
                <w:spacing w:val="4"/>
                <w:sz w:val="19"/>
                <w:szCs w:val="19"/>
              </w:rPr>
              <w:t>100%</w:t>
            </w:r>
          </w:p>
        </w:tc>
        <w:tc>
          <w:tcPr>
            <w:tcW w:w="2563" w:type="dxa"/>
          </w:tcPr>
          <w:p w14:paraId="0D0C5102">
            <w:pPr>
              <w:spacing w:before="211" w:line="311" w:lineRule="auto"/>
              <w:ind w:right="105" w:firstLine="196" w:firstLineChars="100"/>
              <w:jc w:val="left"/>
              <w:rPr>
                <w:rFonts w:ascii="仿宋" w:hAnsi="仿宋" w:eastAsia="仿宋" w:cs="仿宋"/>
                <w:spacing w:val="7"/>
                <w:sz w:val="19"/>
                <w:szCs w:val="19"/>
              </w:rPr>
            </w:pPr>
            <w:r>
              <w:rPr>
                <w:rFonts w:hint="eastAsia" w:ascii="仿宋" w:hAnsi="仿宋" w:eastAsia="仿宋" w:cs="仿宋"/>
                <w:spacing w:val="3"/>
                <w:sz w:val="19"/>
                <w:szCs w:val="19"/>
              </w:rPr>
              <w:t>考察部门年度公用经费控制情况。</w:t>
            </w:r>
          </w:p>
        </w:tc>
        <w:tc>
          <w:tcPr>
            <w:tcW w:w="3808" w:type="dxa"/>
          </w:tcPr>
          <w:p w14:paraId="2267B712">
            <w:pPr>
              <w:spacing w:before="59" w:line="265" w:lineRule="auto"/>
              <w:ind w:left="126" w:right="103" w:firstLine="13"/>
              <w:rPr>
                <w:rFonts w:ascii="仿宋" w:hAnsi="仿宋" w:eastAsia="宋体" w:cs="仿宋"/>
                <w:spacing w:val="7"/>
                <w:sz w:val="19"/>
                <w:szCs w:val="19"/>
              </w:rPr>
            </w:pPr>
            <w:r>
              <w:rPr>
                <w:rFonts w:hint="eastAsia" w:ascii="仿宋" w:hAnsi="仿宋" w:eastAsia="仿宋" w:cs="仿宋"/>
                <w:spacing w:val="7"/>
                <w:sz w:val="19"/>
                <w:szCs w:val="19"/>
              </w:rPr>
              <w:t>年度公用经费执行金额≦部门预算批复金额。超出部分按照比率计算得分。</w:t>
            </w:r>
          </w:p>
        </w:tc>
        <w:tc>
          <w:tcPr>
            <w:tcW w:w="801" w:type="dxa"/>
            <w:vAlign w:val="center"/>
          </w:tcPr>
          <w:p w14:paraId="2BB080C6">
            <w:pPr>
              <w:spacing w:before="62" w:line="185" w:lineRule="auto"/>
              <w:jc w:val="center"/>
              <w:rPr>
                <w:rFonts w:ascii="仿宋" w:hAnsi="仿宋" w:eastAsia="仿宋" w:cs="仿宋"/>
                <w:sz w:val="19"/>
                <w:szCs w:val="19"/>
              </w:rPr>
            </w:pPr>
            <w:r>
              <w:rPr>
                <w:rFonts w:hint="eastAsia" w:ascii="仿宋" w:hAnsi="仿宋" w:eastAsia="仿宋" w:cs="仿宋"/>
                <w:sz w:val="19"/>
                <w:szCs w:val="19"/>
              </w:rPr>
              <w:t>2</w:t>
            </w:r>
          </w:p>
        </w:tc>
        <w:tc>
          <w:tcPr>
            <w:tcW w:w="809" w:type="dxa"/>
            <w:vAlign w:val="center"/>
          </w:tcPr>
          <w:p w14:paraId="1F6B2BF1">
            <w:pPr>
              <w:spacing w:before="62" w:line="185" w:lineRule="auto"/>
              <w:jc w:val="center"/>
              <w:rPr>
                <w:rFonts w:ascii="仿宋" w:hAnsi="仿宋" w:eastAsia="仿宋" w:cs="仿宋"/>
                <w:sz w:val="19"/>
                <w:szCs w:val="19"/>
              </w:rPr>
            </w:pPr>
            <w:r>
              <w:rPr>
                <w:rFonts w:hint="eastAsia" w:ascii="仿宋" w:hAnsi="仿宋" w:eastAsia="仿宋" w:cs="仿宋"/>
                <w:sz w:val="19"/>
                <w:szCs w:val="19"/>
              </w:rPr>
              <w:t>2</w:t>
            </w:r>
          </w:p>
        </w:tc>
      </w:tr>
      <w:tr w14:paraId="5F9F48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1713" w:type="dxa"/>
            <w:vMerge w:val="continue"/>
            <w:tcBorders>
              <w:top w:val="single" w:color="auto" w:sz="4" w:space="0"/>
              <w:left w:val="single" w:color="auto" w:sz="4" w:space="0"/>
              <w:bottom w:val="single" w:color="auto" w:sz="4" w:space="0"/>
            </w:tcBorders>
          </w:tcPr>
          <w:p w14:paraId="168A45D8">
            <w:pPr>
              <w:rPr>
                <w:rFonts w:ascii="Arial"/>
              </w:rPr>
            </w:pPr>
          </w:p>
        </w:tc>
        <w:tc>
          <w:tcPr>
            <w:tcW w:w="1526" w:type="dxa"/>
            <w:vMerge w:val="continue"/>
            <w:tcBorders>
              <w:top w:val="single" w:color="auto" w:sz="4" w:space="0"/>
              <w:bottom w:val="single" w:color="auto" w:sz="4" w:space="0"/>
              <w:right w:val="single" w:color="auto" w:sz="4" w:space="0"/>
            </w:tcBorders>
          </w:tcPr>
          <w:p w14:paraId="119FDC16">
            <w:pPr>
              <w:rPr>
                <w:rFonts w:ascii="Arial"/>
              </w:rPr>
            </w:pPr>
          </w:p>
        </w:tc>
        <w:tc>
          <w:tcPr>
            <w:tcW w:w="1507" w:type="dxa"/>
            <w:tcBorders>
              <w:left w:val="single" w:color="auto" w:sz="4" w:space="0"/>
            </w:tcBorders>
            <w:vAlign w:val="center"/>
          </w:tcPr>
          <w:p w14:paraId="1C07EE74">
            <w:pPr>
              <w:spacing w:before="62" w:line="314" w:lineRule="auto"/>
              <w:ind w:right="104"/>
              <w:jc w:val="center"/>
              <w:rPr>
                <w:rFonts w:ascii="仿宋" w:hAnsi="仿宋" w:eastAsia="仿宋" w:cs="仿宋"/>
                <w:sz w:val="19"/>
                <w:szCs w:val="19"/>
              </w:rPr>
            </w:pPr>
            <w:r>
              <w:rPr>
                <w:rFonts w:hint="eastAsia" w:ascii="仿宋" w:hAnsi="仿宋" w:eastAsia="仿宋" w:cs="仿宋"/>
                <w:sz w:val="19"/>
                <w:szCs w:val="19"/>
              </w:rPr>
              <w:t>B16 预算调整率</w:t>
            </w:r>
          </w:p>
        </w:tc>
        <w:tc>
          <w:tcPr>
            <w:tcW w:w="1228" w:type="dxa"/>
            <w:vAlign w:val="center"/>
          </w:tcPr>
          <w:p w14:paraId="03137255">
            <w:pPr>
              <w:spacing w:before="62" w:line="230" w:lineRule="auto"/>
              <w:jc w:val="center"/>
              <w:rPr>
                <w:rFonts w:ascii="宋体" w:hAnsi="宋体" w:eastAsia="宋体" w:cs="宋体"/>
                <w:spacing w:val="8"/>
                <w:sz w:val="19"/>
                <w:szCs w:val="19"/>
              </w:rPr>
            </w:pPr>
            <w:r>
              <w:rPr>
                <w:rFonts w:hint="eastAsia" w:ascii="仿宋" w:hAnsi="仿宋" w:eastAsia="仿宋" w:cs="仿宋"/>
                <w:spacing w:val="4"/>
                <w:sz w:val="19"/>
                <w:szCs w:val="19"/>
              </w:rPr>
              <w:t>0</w:t>
            </w:r>
          </w:p>
        </w:tc>
        <w:tc>
          <w:tcPr>
            <w:tcW w:w="2563" w:type="dxa"/>
            <w:vAlign w:val="center"/>
          </w:tcPr>
          <w:p w14:paraId="0A30D89B">
            <w:pPr>
              <w:spacing w:before="211" w:line="311" w:lineRule="auto"/>
              <w:ind w:right="105" w:firstLine="196" w:firstLineChars="100"/>
              <w:jc w:val="left"/>
              <w:rPr>
                <w:rFonts w:ascii="仿宋" w:hAnsi="仿宋" w:eastAsia="仿宋" w:cs="仿宋"/>
                <w:spacing w:val="3"/>
                <w:sz w:val="19"/>
                <w:szCs w:val="19"/>
              </w:rPr>
            </w:pPr>
            <w:r>
              <w:rPr>
                <w:rFonts w:hint="eastAsia" w:ascii="仿宋" w:hAnsi="仿宋" w:eastAsia="仿宋" w:cs="仿宋"/>
                <w:spacing w:val="3"/>
                <w:sz w:val="19"/>
                <w:szCs w:val="19"/>
              </w:rPr>
              <w:t>考察部门预算调整情况。</w:t>
            </w:r>
          </w:p>
        </w:tc>
        <w:tc>
          <w:tcPr>
            <w:tcW w:w="3808" w:type="dxa"/>
          </w:tcPr>
          <w:p w14:paraId="73705853">
            <w:pPr>
              <w:spacing w:before="59" w:line="265" w:lineRule="auto"/>
              <w:ind w:left="126" w:right="103" w:firstLine="13"/>
              <w:rPr>
                <w:rFonts w:ascii="仿宋" w:hAnsi="仿宋" w:eastAsia="仿宋" w:cs="仿宋"/>
                <w:spacing w:val="7"/>
                <w:sz w:val="19"/>
                <w:szCs w:val="19"/>
              </w:rPr>
            </w:pPr>
            <w:r>
              <w:rPr>
                <w:rFonts w:hint="eastAsia" w:ascii="仿宋" w:hAnsi="仿宋" w:eastAsia="仿宋" w:cs="仿宋"/>
                <w:spacing w:val="7"/>
                <w:sz w:val="19"/>
                <w:szCs w:val="19"/>
              </w:rPr>
              <w:t>部门预算调整率= (部门预算调整金额/部门预算资金总额) ×100%。调整率为0得</w:t>
            </w:r>
            <w:r>
              <w:rPr>
                <w:rFonts w:ascii="仿宋" w:hAnsi="仿宋" w:eastAsia="仿宋" w:cs="仿宋"/>
                <w:spacing w:val="7"/>
                <w:sz w:val="19"/>
                <w:szCs w:val="19"/>
              </w:rPr>
              <w:t>对应权重分，否则按比例计算得分</w:t>
            </w:r>
            <w:r>
              <w:rPr>
                <w:rFonts w:hint="eastAsia" w:ascii="仿宋" w:hAnsi="仿宋" w:eastAsia="仿宋" w:cs="仿宋"/>
                <w:spacing w:val="7"/>
                <w:sz w:val="19"/>
                <w:szCs w:val="19"/>
              </w:rPr>
              <w:t>.</w:t>
            </w:r>
          </w:p>
        </w:tc>
        <w:tc>
          <w:tcPr>
            <w:tcW w:w="801" w:type="dxa"/>
            <w:vAlign w:val="center"/>
          </w:tcPr>
          <w:p w14:paraId="44F6893C">
            <w:pPr>
              <w:spacing w:before="62" w:line="185" w:lineRule="auto"/>
              <w:jc w:val="center"/>
              <w:rPr>
                <w:rFonts w:ascii="仿宋" w:hAnsi="仿宋" w:eastAsia="仿宋" w:cs="仿宋"/>
                <w:sz w:val="19"/>
                <w:szCs w:val="19"/>
              </w:rPr>
            </w:pPr>
            <w:r>
              <w:rPr>
                <w:rFonts w:hint="eastAsia" w:ascii="仿宋" w:hAnsi="仿宋" w:eastAsia="仿宋" w:cs="仿宋"/>
                <w:sz w:val="19"/>
                <w:szCs w:val="19"/>
              </w:rPr>
              <w:t>1</w:t>
            </w:r>
          </w:p>
        </w:tc>
        <w:tc>
          <w:tcPr>
            <w:tcW w:w="809" w:type="dxa"/>
            <w:vAlign w:val="center"/>
          </w:tcPr>
          <w:p w14:paraId="63784009">
            <w:pPr>
              <w:spacing w:before="62" w:line="185" w:lineRule="auto"/>
              <w:jc w:val="center"/>
              <w:rPr>
                <w:rFonts w:ascii="仿宋" w:hAnsi="仿宋" w:eastAsia="仿宋" w:cs="仿宋"/>
                <w:sz w:val="19"/>
                <w:szCs w:val="19"/>
              </w:rPr>
            </w:pPr>
            <w:r>
              <w:rPr>
                <w:rFonts w:hint="eastAsia" w:ascii="仿宋" w:hAnsi="仿宋" w:eastAsia="仿宋" w:cs="仿宋"/>
                <w:sz w:val="19"/>
                <w:szCs w:val="19"/>
              </w:rPr>
              <w:t>0.96</w:t>
            </w:r>
          </w:p>
        </w:tc>
      </w:tr>
      <w:tr w14:paraId="4DDDF1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1713" w:type="dxa"/>
            <w:vMerge w:val="continue"/>
            <w:tcBorders>
              <w:top w:val="single" w:color="auto" w:sz="4" w:space="0"/>
              <w:left w:val="single" w:color="auto" w:sz="4" w:space="0"/>
              <w:bottom w:val="single" w:color="auto" w:sz="4" w:space="0"/>
            </w:tcBorders>
          </w:tcPr>
          <w:p w14:paraId="560DC5E7">
            <w:pPr>
              <w:rPr>
                <w:rFonts w:ascii="Arial"/>
              </w:rPr>
            </w:pPr>
          </w:p>
        </w:tc>
        <w:tc>
          <w:tcPr>
            <w:tcW w:w="1526" w:type="dxa"/>
            <w:vMerge w:val="continue"/>
            <w:tcBorders>
              <w:top w:val="single" w:color="auto" w:sz="4" w:space="0"/>
              <w:bottom w:val="single" w:color="auto" w:sz="4" w:space="0"/>
              <w:right w:val="single" w:color="auto" w:sz="4" w:space="0"/>
            </w:tcBorders>
          </w:tcPr>
          <w:p w14:paraId="20D5F481">
            <w:pPr>
              <w:rPr>
                <w:rFonts w:ascii="Arial"/>
              </w:rPr>
            </w:pPr>
          </w:p>
        </w:tc>
        <w:tc>
          <w:tcPr>
            <w:tcW w:w="1507" w:type="dxa"/>
            <w:tcBorders>
              <w:left w:val="single" w:color="auto" w:sz="4" w:space="0"/>
            </w:tcBorders>
            <w:vAlign w:val="center"/>
          </w:tcPr>
          <w:p w14:paraId="389734B4">
            <w:pPr>
              <w:spacing w:before="62" w:line="314" w:lineRule="auto"/>
              <w:ind w:right="104"/>
              <w:jc w:val="center"/>
              <w:rPr>
                <w:rFonts w:ascii="仿宋" w:hAnsi="仿宋" w:eastAsia="仿宋" w:cs="仿宋"/>
                <w:sz w:val="19"/>
                <w:szCs w:val="19"/>
              </w:rPr>
            </w:pPr>
            <w:r>
              <w:rPr>
                <w:rFonts w:hint="eastAsia" w:ascii="仿宋" w:hAnsi="仿宋" w:eastAsia="仿宋" w:cs="仿宋"/>
                <w:sz w:val="19"/>
                <w:szCs w:val="19"/>
              </w:rPr>
              <w:t>B17支付进度符合率</w:t>
            </w:r>
          </w:p>
        </w:tc>
        <w:tc>
          <w:tcPr>
            <w:tcW w:w="1228" w:type="dxa"/>
            <w:vAlign w:val="center"/>
          </w:tcPr>
          <w:p w14:paraId="12890BB3">
            <w:pPr>
              <w:spacing w:before="62" w:line="230" w:lineRule="auto"/>
              <w:jc w:val="center"/>
              <w:rPr>
                <w:rFonts w:ascii="仿宋" w:hAnsi="仿宋" w:eastAsia="仿宋" w:cs="仿宋"/>
                <w:spacing w:val="4"/>
                <w:sz w:val="19"/>
                <w:szCs w:val="19"/>
              </w:rPr>
            </w:pPr>
            <w:r>
              <w:rPr>
                <w:rFonts w:hint="eastAsia" w:ascii="仿宋" w:hAnsi="仿宋" w:eastAsia="仿宋" w:cs="仿宋"/>
                <w:spacing w:val="4"/>
                <w:sz w:val="19"/>
                <w:szCs w:val="19"/>
              </w:rPr>
              <w:t>100%</w:t>
            </w:r>
          </w:p>
        </w:tc>
        <w:tc>
          <w:tcPr>
            <w:tcW w:w="2563" w:type="dxa"/>
            <w:vAlign w:val="center"/>
          </w:tcPr>
          <w:p w14:paraId="5B6601AF">
            <w:pPr>
              <w:spacing w:before="211" w:line="311" w:lineRule="auto"/>
              <w:ind w:right="105" w:firstLine="196" w:firstLineChars="100"/>
              <w:jc w:val="left"/>
              <w:rPr>
                <w:rFonts w:ascii="仿宋" w:hAnsi="仿宋" w:eastAsia="仿宋" w:cs="仿宋"/>
                <w:spacing w:val="3"/>
                <w:sz w:val="19"/>
                <w:szCs w:val="19"/>
              </w:rPr>
            </w:pPr>
            <w:r>
              <w:rPr>
                <w:rFonts w:hint="eastAsia" w:ascii="仿宋" w:hAnsi="仿宋" w:eastAsia="仿宋" w:cs="仿宋"/>
                <w:spacing w:val="3"/>
                <w:sz w:val="19"/>
                <w:szCs w:val="19"/>
              </w:rPr>
              <w:t>考察部门支付进度情况</w:t>
            </w:r>
          </w:p>
        </w:tc>
        <w:tc>
          <w:tcPr>
            <w:tcW w:w="3808" w:type="dxa"/>
            <w:vAlign w:val="center"/>
          </w:tcPr>
          <w:p w14:paraId="4DA6FF46">
            <w:pPr>
              <w:spacing w:before="59" w:line="265" w:lineRule="auto"/>
              <w:ind w:left="126" w:right="103" w:firstLine="13"/>
              <w:rPr>
                <w:rFonts w:ascii="仿宋" w:hAnsi="仿宋" w:eastAsia="仿宋" w:cs="仿宋"/>
                <w:spacing w:val="7"/>
                <w:sz w:val="19"/>
                <w:szCs w:val="19"/>
              </w:rPr>
            </w:pPr>
            <w:r>
              <w:rPr>
                <w:rFonts w:hint="eastAsia" w:ascii="仿宋" w:hAnsi="仿宋" w:eastAsia="仿宋" w:cs="仿宋"/>
                <w:spacing w:val="7"/>
                <w:sz w:val="19"/>
                <w:szCs w:val="19"/>
              </w:rPr>
              <w:t>按照序时进度支付得满分，</w:t>
            </w:r>
            <w:r>
              <w:rPr>
                <w:rFonts w:hint="eastAsia" w:ascii="仿宋" w:hAnsi="仿宋" w:eastAsia="仿宋" w:cs="仿宋"/>
                <w:sz w:val="19"/>
                <w:szCs w:val="19"/>
              </w:rPr>
              <w:t>否则酌情得 分。</w:t>
            </w:r>
          </w:p>
        </w:tc>
        <w:tc>
          <w:tcPr>
            <w:tcW w:w="801" w:type="dxa"/>
            <w:vAlign w:val="center"/>
          </w:tcPr>
          <w:p w14:paraId="0868BDA1">
            <w:pPr>
              <w:spacing w:before="62" w:line="185" w:lineRule="auto"/>
              <w:jc w:val="center"/>
              <w:rPr>
                <w:rFonts w:ascii="仿宋" w:hAnsi="仿宋" w:eastAsia="仿宋" w:cs="仿宋"/>
                <w:sz w:val="19"/>
                <w:szCs w:val="19"/>
              </w:rPr>
            </w:pPr>
            <w:r>
              <w:rPr>
                <w:rFonts w:hint="eastAsia" w:ascii="仿宋" w:hAnsi="仿宋" w:eastAsia="仿宋" w:cs="仿宋"/>
                <w:sz w:val="19"/>
                <w:szCs w:val="19"/>
              </w:rPr>
              <w:t>1</w:t>
            </w:r>
          </w:p>
        </w:tc>
        <w:tc>
          <w:tcPr>
            <w:tcW w:w="809" w:type="dxa"/>
            <w:vAlign w:val="center"/>
          </w:tcPr>
          <w:p w14:paraId="763FE738">
            <w:pPr>
              <w:spacing w:before="62" w:line="185" w:lineRule="auto"/>
              <w:jc w:val="center"/>
              <w:rPr>
                <w:rFonts w:ascii="仿宋" w:hAnsi="仿宋" w:eastAsia="仿宋" w:cs="仿宋"/>
                <w:sz w:val="19"/>
                <w:szCs w:val="19"/>
              </w:rPr>
            </w:pPr>
            <w:r>
              <w:rPr>
                <w:rFonts w:hint="eastAsia" w:ascii="仿宋" w:hAnsi="仿宋" w:eastAsia="仿宋" w:cs="仿宋"/>
                <w:sz w:val="19"/>
                <w:szCs w:val="19"/>
              </w:rPr>
              <w:t>0.9</w:t>
            </w:r>
          </w:p>
        </w:tc>
      </w:tr>
      <w:tr w14:paraId="713F9C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1713" w:type="dxa"/>
            <w:vMerge w:val="continue"/>
            <w:tcBorders>
              <w:top w:val="single" w:color="auto" w:sz="4" w:space="0"/>
              <w:left w:val="single" w:color="auto" w:sz="4" w:space="0"/>
              <w:bottom w:val="single" w:color="auto" w:sz="4" w:space="0"/>
            </w:tcBorders>
          </w:tcPr>
          <w:p w14:paraId="3FEC52B7">
            <w:pPr>
              <w:rPr>
                <w:rFonts w:ascii="Arial"/>
              </w:rPr>
            </w:pPr>
          </w:p>
        </w:tc>
        <w:tc>
          <w:tcPr>
            <w:tcW w:w="1526" w:type="dxa"/>
            <w:vMerge w:val="continue"/>
            <w:tcBorders>
              <w:top w:val="single" w:color="auto" w:sz="4" w:space="0"/>
              <w:bottom w:val="single" w:color="auto" w:sz="4" w:space="0"/>
              <w:right w:val="single" w:color="auto" w:sz="4" w:space="0"/>
            </w:tcBorders>
          </w:tcPr>
          <w:p w14:paraId="21105CFB">
            <w:pPr>
              <w:rPr>
                <w:rFonts w:ascii="Arial"/>
              </w:rPr>
            </w:pPr>
          </w:p>
        </w:tc>
        <w:tc>
          <w:tcPr>
            <w:tcW w:w="1507" w:type="dxa"/>
            <w:tcBorders>
              <w:left w:val="single" w:color="auto" w:sz="4" w:space="0"/>
            </w:tcBorders>
            <w:vAlign w:val="center"/>
          </w:tcPr>
          <w:p w14:paraId="2330BAAE">
            <w:pPr>
              <w:spacing w:before="62" w:line="314" w:lineRule="auto"/>
              <w:ind w:right="104"/>
              <w:jc w:val="center"/>
              <w:rPr>
                <w:rFonts w:ascii="仿宋" w:hAnsi="仿宋" w:eastAsia="仿宋" w:cs="仿宋"/>
                <w:sz w:val="19"/>
                <w:szCs w:val="19"/>
              </w:rPr>
            </w:pPr>
            <w:r>
              <w:rPr>
                <w:rFonts w:hint="eastAsia" w:ascii="仿宋" w:hAnsi="仿宋" w:eastAsia="仿宋" w:cs="仿宋"/>
                <w:sz w:val="19"/>
                <w:szCs w:val="19"/>
              </w:rPr>
              <w:t>B18 非税收入预算完成率</w:t>
            </w:r>
          </w:p>
        </w:tc>
        <w:tc>
          <w:tcPr>
            <w:tcW w:w="1228" w:type="dxa"/>
            <w:vAlign w:val="center"/>
          </w:tcPr>
          <w:p w14:paraId="138861DE">
            <w:pPr>
              <w:spacing w:before="62" w:line="230" w:lineRule="auto"/>
              <w:jc w:val="center"/>
              <w:rPr>
                <w:rFonts w:ascii="仿宋" w:hAnsi="仿宋" w:eastAsia="仿宋" w:cs="仿宋"/>
                <w:spacing w:val="4"/>
                <w:sz w:val="19"/>
                <w:szCs w:val="19"/>
              </w:rPr>
            </w:pPr>
            <w:r>
              <w:rPr>
                <w:rFonts w:hint="eastAsia" w:ascii="仿宋" w:hAnsi="仿宋" w:eastAsia="仿宋" w:cs="仿宋"/>
                <w:spacing w:val="4"/>
                <w:sz w:val="19"/>
                <w:szCs w:val="19"/>
              </w:rPr>
              <w:t>100%</w:t>
            </w:r>
          </w:p>
        </w:tc>
        <w:tc>
          <w:tcPr>
            <w:tcW w:w="2563" w:type="dxa"/>
            <w:vAlign w:val="center"/>
          </w:tcPr>
          <w:p w14:paraId="6BEE57DE">
            <w:pPr>
              <w:spacing w:before="211" w:line="311" w:lineRule="auto"/>
              <w:ind w:right="105" w:firstLine="196" w:firstLineChars="100"/>
              <w:jc w:val="left"/>
              <w:rPr>
                <w:rFonts w:ascii="仿宋" w:hAnsi="仿宋" w:eastAsia="仿宋" w:cs="仿宋"/>
                <w:spacing w:val="3"/>
                <w:sz w:val="19"/>
                <w:szCs w:val="19"/>
              </w:rPr>
            </w:pPr>
            <w:r>
              <w:rPr>
                <w:rFonts w:hint="eastAsia" w:ascii="仿宋" w:hAnsi="仿宋" w:eastAsia="仿宋" w:cs="仿宋"/>
                <w:spacing w:val="3"/>
                <w:sz w:val="19"/>
                <w:szCs w:val="19"/>
              </w:rPr>
              <w:t>考察非税收入预算完成情况</w:t>
            </w:r>
          </w:p>
        </w:tc>
        <w:tc>
          <w:tcPr>
            <w:tcW w:w="3808" w:type="dxa"/>
          </w:tcPr>
          <w:p w14:paraId="19AED9BF">
            <w:pPr>
              <w:spacing w:before="59" w:line="265" w:lineRule="auto"/>
              <w:ind w:left="126" w:right="103" w:firstLine="13"/>
              <w:rPr>
                <w:rFonts w:ascii="仿宋" w:hAnsi="仿宋" w:eastAsia="仿宋" w:cs="仿宋"/>
                <w:spacing w:val="7"/>
                <w:sz w:val="19"/>
                <w:szCs w:val="19"/>
              </w:rPr>
            </w:pPr>
            <w:r>
              <w:rPr>
                <w:rFonts w:hint="eastAsia" w:ascii="仿宋" w:hAnsi="仿宋" w:eastAsia="仿宋" w:cs="仿宋"/>
                <w:spacing w:val="7"/>
                <w:sz w:val="19"/>
                <w:szCs w:val="19"/>
              </w:rPr>
              <w:t>完成年度非税收入计划得满分，否则按比例计算得分</w:t>
            </w:r>
          </w:p>
        </w:tc>
        <w:tc>
          <w:tcPr>
            <w:tcW w:w="801" w:type="dxa"/>
            <w:vAlign w:val="center"/>
          </w:tcPr>
          <w:p w14:paraId="2446AE5C">
            <w:pPr>
              <w:spacing w:before="62" w:line="185" w:lineRule="auto"/>
              <w:ind w:left="372"/>
              <w:rPr>
                <w:rFonts w:ascii="仿宋" w:hAnsi="仿宋" w:eastAsia="仿宋" w:cs="仿宋"/>
                <w:sz w:val="19"/>
                <w:szCs w:val="19"/>
              </w:rPr>
            </w:pPr>
            <w:r>
              <w:rPr>
                <w:rFonts w:hint="eastAsia" w:ascii="仿宋" w:hAnsi="仿宋" w:eastAsia="仿宋" w:cs="仿宋"/>
                <w:sz w:val="19"/>
                <w:szCs w:val="19"/>
              </w:rPr>
              <w:t>1</w:t>
            </w:r>
          </w:p>
        </w:tc>
        <w:tc>
          <w:tcPr>
            <w:tcW w:w="809" w:type="dxa"/>
            <w:vAlign w:val="center"/>
          </w:tcPr>
          <w:p w14:paraId="4566097D">
            <w:pPr>
              <w:spacing w:before="62" w:line="185" w:lineRule="auto"/>
              <w:jc w:val="center"/>
              <w:rPr>
                <w:rFonts w:ascii="仿宋" w:hAnsi="仿宋" w:eastAsia="仿宋" w:cs="仿宋"/>
                <w:sz w:val="19"/>
                <w:szCs w:val="19"/>
              </w:rPr>
            </w:pPr>
            <w:r>
              <w:rPr>
                <w:rFonts w:hint="eastAsia" w:ascii="仿宋" w:hAnsi="仿宋" w:eastAsia="仿宋" w:cs="仿宋"/>
                <w:sz w:val="19"/>
                <w:szCs w:val="19"/>
              </w:rPr>
              <w:t>0.62</w:t>
            </w:r>
          </w:p>
        </w:tc>
      </w:tr>
    </w:tbl>
    <w:p w14:paraId="5A69B02E"/>
    <w:p w14:paraId="65BA9566"/>
    <w:p w14:paraId="2FC3EC88">
      <w:pPr>
        <w:spacing w:line="63" w:lineRule="exact"/>
      </w:pPr>
    </w:p>
    <w:p w14:paraId="079BA08F">
      <w:pPr>
        <w:sectPr>
          <w:pgSz w:w="16839" w:h="11906"/>
          <w:pgMar w:top="1012" w:right="1330" w:bottom="400" w:left="1327" w:header="0" w:footer="0" w:gutter="0"/>
          <w:cols w:space="720" w:num="1"/>
        </w:sectPr>
      </w:pPr>
    </w:p>
    <w:tbl>
      <w:tblPr>
        <w:tblStyle w:val="10"/>
        <w:tblW w:w="139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13"/>
        <w:gridCol w:w="1526"/>
        <w:gridCol w:w="1507"/>
        <w:gridCol w:w="1228"/>
        <w:gridCol w:w="2563"/>
        <w:gridCol w:w="3808"/>
        <w:gridCol w:w="801"/>
        <w:gridCol w:w="809"/>
      </w:tblGrid>
      <w:tr w14:paraId="3E1667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4746" w:type="dxa"/>
            <w:gridSpan w:val="3"/>
          </w:tcPr>
          <w:p w14:paraId="195F6D7B">
            <w:pPr>
              <w:spacing w:before="59" w:line="229" w:lineRule="auto"/>
              <w:ind w:left="2176"/>
              <w:rPr>
                <w:rFonts w:ascii="黑体" w:hAnsi="黑体" w:eastAsia="黑体" w:cs="黑体"/>
                <w:sz w:val="19"/>
                <w:szCs w:val="19"/>
              </w:rPr>
            </w:pPr>
            <w:r>
              <w:rPr>
                <w:rFonts w:ascii="黑体" w:hAnsi="黑体" w:eastAsia="黑体" w:cs="黑体"/>
                <w:spacing w:val="7"/>
                <w:sz w:val="19"/>
                <w:szCs w:val="19"/>
              </w:rPr>
              <w:t>指</w:t>
            </w:r>
            <w:r>
              <w:rPr>
                <w:rFonts w:ascii="黑体" w:hAnsi="黑体" w:eastAsia="黑体" w:cs="黑体"/>
                <w:spacing w:val="6"/>
                <w:sz w:val="19"/>
                <w:szCs w:val="19"/>
              </w:rPr>
              <w:t>标</w:t>
            </w:r>
          </w:p>
        </w:tc>
        <w:tc>
          <w:tcPr>
            <w:tcW w:w="1228" w:type="dxa"/>
            <w:vMerge w:val="restart"/>
            <w:tcBorders>
              <w:bottom w:val="nil"/>
            </w:tcBorders>
          </w:tcPr>
          <w:p w14:paraId="6E558CD0">
            <w:pPr>
              <w:spacing w:before="234" w:line="230" w:lineRule="auto"/>
              <w:ind w:left="313"/>
              <w:rPr>
                <w:rFonts w:ascii="黑体" w:hAnsi="黑体" w:eastAsia="黑体" w:cs="黑体"/>
                <w:sz w:val="19"/>
                <w:szCs w:val="19"/>
              </w:rPr>
            </w:pPr>
            <w:r>
              <w:rPr>
                <w:rFonts w:ascii="黑体" w:hAnsi="黑体" w:eastAsia="黑体" w:cs="黑体"/>
                <w:spacing w:val="9"/>
                <w:sz w:val="19"/>
                <w:szCs w:val="19"/>
              </w:rPr>
              <w:t>标</w:t>
            </w:r>
            <w:r>
              <w:rPr>
                <w:rFonts w:ascii="黑体" w:hAnsi="黑体" w:eastAsia="黑体" w:cs="黑体"/>
                <w:spacing w:val="8"/>
                <w:sz w:val="19"/>
                <w:szCs w:val="19"/>
              </w:rPr>
              <w:t>准值</w:t>
            </w:r>
          </w:p>
        </w:tc>
        <w:tc>
          <w:tcPr>
            <w:tcW w:w="2563" w:type="dxa"/>
            <w:vMerge w:val="restart"/>
            <w:tcBorders>
              <w:bottom w:val="nil"/>
            </w:tcBorders>
          </w:tcPr>
          <w:p w14:paraId="1201F366">
            <w:pPr>
              <w:spacing w:before="234" w:line="228" w:lineRule="auto"/>
              <w:ind w:left="886"/>
              <w:rPr>
                <w:rFonts w:ascii="黑体" w:hAnsi="黑体" w:eastAsia="黑体" w:cs="黑体"/>
                <w:sz w:val="19"/>
                <w:szCs w:val="19"/>
              </w:rPr>
            </w:pPr>
            <w:r>
              <w:rPr>
                <w:rFonts w:ascii="黑体" w:hAnsi="黑体" w:eastAsia="黑体" w:cs="黑体"/>
                <w:spacing w:val="8"/>
                <w:sz w:val="19"/>
                <w:szCs w:val="19"/>
              </w:rPr>
              <w:t>指标解释</w:t>
            </w:r>
          </w:p>
        </w:tc>
        <w:tc>
          <w:tcPr>
            <w:tcW w:w="3808" w:type="dxa"/>
            <w:vMerge w:val="restart"/>
            <w:tcBorders>
              <w:bottom w:val="nil"/>
            </w:tcBorders>
          </w:tcPr>
          <w:p w14:paraId="645A2153">
            <w:pPr>
              <w:spacing w:before="234" w:line="228" w:lineRule="auto"/>
              <w:ind w:left="1510"/>
              <w:rPr>
                <w:rFonts w:ascii="黑体" w:hAnsi="黑体" w:eastAsia="黑体" w:cs="黑体"/>
                <w:sz w:val="19"/>
                <w:szCs w:val="19"/>
              </w:rPr>
            </w:pPr>
            <w:r>
              <w:rPr>
                <w:rFonts w:ascii="黑体" w:hAnsi="黑体" w:eastAsia="黑体" w:cs="黑体"/>
                <w:spacing w:val="8"/>
                <w:sz w:val="19"/>
                <w:szCs w:val="19"/>
              </w:rPr>
              <w:t>评价标准</w:t>
            </w:r>
          </w:p>
        </w:tc>
        <w:tc>
          <w:tcPr>
            <w:tcW w:w="801" w:type="dxa"/>
            <w:vMerge w:val="restart"/>
            <w:tcBorders>
              <w:bottom w:val="nil"/>
            </w:tcBorders>
          </w:tcPr>
          <w:p w14:paraId="1594550C">
            <w:pPr>
              <w:spacing w:before="234" w:line="230" w:lineRule="auto"/>
              <w:ind w:left="207"/>
              <w:rPr>
                <w:rFonts w:ascii="黑体" w:hAnsi="黑体" w:eastAsia="黑体" w:cs="黑体"/>
                <w:sz w:val="19"/>
                <w:szCs w:val="19"/>
              </w:rPr>
            </w:pPr>
            <w:r>
              <w:rPr>
                <w:rFonts w:ascii="黑体" w:hAnsi="黑体" w:eastAsia="黑体" w:cs="黑体"/>
                <w:spacing w:val="7"/>
                <w:sz w:val="19"/>
                <w:szCs w:val="19"/>
              </w:rPr>
              <w:t>权重</w:t>
            </w:r>
          </w:p>
        </w:tc>
        <w:tc>
          <w:tcPr>
            <w:tcW w:w="809" w:type="dxa"/>
            <w:vMerge w:val="restart"/>
            <w:tcBorders>
              <w:bottom w:val="nil"/>
            </w:tcBorders>
          </w:tcPr>
          <w:p w14:paraId="7EDCA090">
            <w:pPr>
              <w:spacing w:before="234" w:line="228" w:lineRule="auto"/>
              <w:ind w:left="210"/>
              <w:rPr>
                <w:rFonts w:ascii="黑体" w:hAnsi="黑体" w:eastAsia="黑体" w:cs="黑体"/>
                <w:sz w:val="19"/>
                <w:szCs w:val="19"/>
              </w:rPr>
            </w:pPr>
            <w:r>
              <w:rPr>
                <w:rFonts w:ascii="黑体" w:hAnsi="黑体" w:eastAsia="黑体" w:cs="黑体"/>
                <w:spacing w:val="6"/>
                <w:sz w:val="19"/>
                <w:szCs w:val="19"/>
              </w:rPr>
              <w:t>得分</w:t>
            </w:r>
          </w:p>
        </w:tc>
      </w:tr>
      <w:tr w14:paraId="01AECC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1713" w:type="dxa"/>
            <w:tcBorders>
              <w:bottom w:val="single" w:color="auto" w:sz="4" w:space="0"/>
            </w:tcBorders>
          </w:tcPr>
          <w:p w14:paraId="14D5A4AA">
            <w:pPr>
              <w:spacing w:before="69" w:line="227" w:lineRule="auto"/>
              <w:ind w:left="464"/>
              <w:rPr>
                <w:rFonts w:ascii="黑体" w:hAnsi="黑体" w:eastAsia="黑体" w:cs="黑体"/>
                <w:sz w:val="19"/>
                <w:szCs w:val="19"/>
              </w:rPr>
            </w:pPr>
            <w:r>
              <w:rPr>
                <w:rFonts w:ascii="黑体" w:hAnsi="黑体" w:eastAsia="黑体" w:cs="黑体"/>
                <w:spacing w:val="7"/>
                <w:sz w:val="19"/>
                <w:szCs w:val="19"/>
              </w:rPr>
              <w:t>一级指标</w:t>
            </w:r>
          </w:p>
        </w:tc>
        <w:tc>
          <w:tcPr>
            <w:tcW w:w="1526" w:type="dxa"/>
            <w:tcBorders>
              <w:bottom w:val="single" w:color="auto" w:sz="4" w:space="0"/>
            </w:tcBorders>
          </w:tcPr>
          <w:p w14:paraId="613EBA56">
            <w:pPr>
              <w:spacing w:before="69" w:line="227" w:lineRule="auto"/>
              <w:ind w:left="369"/>
              <w:rPr>
                <w:rFonts w:ascii="黑体" w:hAnsi="黑体" w:eastAsia="黑体" w:cs="黑体"/>
                <w:sz w:val="19"/>
                <w:szCs w:val="19"/>
              </w:rPr>
            </w:pPr>
            <w:r>
              <w:rPr>
                <w:rFonts w:ascii="黑体" w:hAnsi="黑体" w:eastAsia="黑体" w:cs="黑体"/>
                <w:spacing w:val="7"/>
                <w:sz w:val="19"/>
                <w:szCs w:val="19"/>
              </w:rPr>
              <w:t>二级指标</w:t>
            </w:r>
          </w:p>
        </w:tc>
        <w:tc>
          <w:tcPr>
            <w:tcW w:w="1507" w:type="dxa"/>
          </w:tcPr>
          <w:p w14:paraId="31ACBCE6">
            <w:pPr>
              <w:spacing w:before="69" w:line="227" w:lineRule="auto"/>
              <w:ind w:left="363"/>
              <w:rPr>
                <w:rFonts w:ascii="黑体" w:hAnsi="黑体" w:eastAsia="黑体" w:cs="黑体"/>
                <w:sz w:val="19"/>
                <w:szCs w:val="19"/>
              </w:rPr>
            </w:pPr>
            <w:r>
              <w:rPr>
                <w:rFonts w:ascii="黑体" w:hAnsi="黑体" w:eastAsia="黑体" w:cs="黑体"/>
                <w:spacing w:val="7"/>
                <w:sz w:val="19"/>
                <w:szCs w:val="19"/>
              </w:rPr>
              <w:t>三级指</w:t>
            </w:r>
            <w:r>
              <w:rPr>
                <w:rFonts w:ascii="黑体" w:hAnsi="黑体" w:eastAsia="黑体" w:cs="黑体"/>
                <w:spacing w:val="6"/>
                <w:sz w:val="19"/>
                <w:szCs w:val="19"/>
              </w:rPr>
              <w:t>标</w:t>
            </w:r>
          </w:p>
        </w:tc>
        <w:tc>
          <w:tcPr>
            <w:tcW w:w="1228" w:type="dxa"/>
            <w:vMerge w:val="continue"/>
            <w:tcBorders>
              <w:top w:val="nil"/>
            </w:tcBorders>
          </w:tcPr>
          <w:p w14:paraId="423D75A2">
            <w:pPr>
              <w:rPr>
                <w:rFonts w:ascii="Arial"/>
              </w:rPr>
            </w:pPr>
          </w:p>
        </w:tc>
        <w:tc>
          <w:tcPr>
            <w:tcW w:w="2563" w:type="dxa"/>
            <w:vMerge w:val="continue"/>
            <w:tcBorders>
              <w:top w:val="nil"/>
            </w:tcBorders>
          </w:tcPr>
          <w:p w14:paraId="06253D9D">
            <w:pPr>
              <w:rPr>
                <w:rFonts w:ascii="Arial"/>
              </w:rPr>
            </w:pPr>
          </w:p>
        </w:tc>
        <w:tc>
          <w:tcPr>
            <w:tcW w:w="3808" w:type="dxa"/>
            <w:vMerge w:val="continue"/>
            <w:tcBorders>
              <w:top w:val="nil"/>
            </w:tcBorders>
          </w:tcPr>
          <w:p w14:paraId="39C1E1BD">
            <w:pPr>
              <w:rPr>
                <w:rFonts w:ascii="Arial"/>
              </w:rPr>
            </w:pPr>
          </w:p>
        </w:tc>
        <w:tc>
          <w:tcPr>
            <w:tcW w:w="801" w:type="dxa"/>
            <w:vMerge w:val="continue"/>
            <w:tcBorders>
              <w:top w:val="nil"/>
            </w:tcBorders>
          </w:tcPr>
          <w:p w14:paraId="61374894">
            <w:pPr>
              <w:rPr>
                <w:rFonts w:ascii="Arial"/>
              </w:rPr>
            </w:pPr>
          </w:p>
        </w:tc>
        <w:tc>
          <w:tcPr>
            <w:tcW w:w="809" w:type="dxa"/>
            <w:vMerge w:val="continue"/>
            <w:tcBorders>
              <w:top w:val="nil"/>
            </w:tcBorders>
          </w:tcPr>
          <w:p w14:paraId="34DD2AFF">
            <w:pPr>
              <w:rPr>
                <w:rFonts w:ascii="Arial"/>
              </w:rPr>
            </w:pPr>
          </w:p>
        </w:tc>
      </w:tr>
      <w:tr w14:paraId="36CD4E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1713" w:type="dxa"/>
            <w:vMerge w:val="restart"/>
            <w:tcBorders>
              <w:top w:val="single" w:color="auto" w:sz="4" w:space="0"/>
              <w:left w:val="single" w:color="auto" w:sz="4" w:space="0"/>
              <w:bottom w:val="single" w:color="auto" w:sz="4" w:space="0"/>
            </w:tcBorders>
          </w:tcPr>
          <w:p w14:paraId="0B68CC85">
            <w:pPr>
              <w:rPr>
                <w:rFonts w:ascii="Arial"/>
              </w:rPr>
            </w:pPr>
          </w:p>
        </w:tc>
        <w:tc>
          <w:tcPr>
            <w:tcW w:w="1526" w:type="dxa"/>
            <w:vMerge w:val="restart"/>
            <w:tcBorders>
              <w:top w:val="single" w:color="auto" w:sz="4" w:space="0"/>
              <w:bottom w:val="single" w:color="auto" w:sz="4" w:space="0"/>
              <w:right w:val="single" w:color="auto" w:sz="4" w:space="0"/>
            </w:tcBorders>
            <w:vAlign w:val="center"/>
          </w:tcPr>
          <w:p w14:paraId="3EEB4ADF">
            <w:pPr>
              <w:spacing w:before="62" w:line="312" w:lineRule="exact"/>
              <w:ind w:firstLine="190" w:firstLineChars="100"/>
              <w:jc w:val="center"/>
              <w:rPr>
                <w:rFonts w:ascii="仿宋" w:hAnsi="仿宋" w:eastAsia="仿宋" w:cs="仿宋"/>
                <w:sz w:val="19"/>
                <w:szCs w:val="19"/>
              </w:rPr>
            </w:pPr>
            <w:r>
              <w:rPr>
                <w:rFonts w:ascii="仿宋" w:hAnsi="仿宋" w:eastAsia="仿宋" w:cs="仿宋"/>
                <w:position w:val="8"/>
                <w:sz w:val="19"/>
                <w:szCs w:val="19"/>
              </w:rPr>
              <w:t>B</w:t>
            </w:r>
            <w:r>
              <w:rPr>
                <w:rFonts w:hint="eastAsia" w:ascii="仿宋" w:hAnsi="仿宋" w:eastAsia="仿宋" w:cs="仿宋"/>
                <w:spacing w:val="1"/>
                <w:position w:val="8"/>
                <w:sz w:val="19"/>
                <w:szCs w:val="19"/>
              </w:rPr>
              <w:t>2预算管理</w:t>
            </w:r>
          </w:p>
          <w:p w14:paraId="5D1DFDD7">
            <w:pPr>
              <w:jc w:val="center"/>
              <w:rPr>
                <w:rFonts w:ascii="Arial"/>
              </w:rPr>
            </w:pPr>
            <w:r>
              <w:rPr>
                <w:rFonts w:ascii="仿宋" w:hAnsi="仿宋" w:eastAsia="仿宋" w:cs="仿宋"/>
                <w:spacing w:val="11"/>
                <w:sz w:val="19"/>
                <w:szCs w:val="19"/>
              </w:rPr>
              <w:t>(</w:t>
            </w:r>
            <w:r>
              <w:rPr>
                <w:rFonts w:hint="eastAsia" w:ascii="仿宋" w:hAnsi="仿宋" w:eastAsia="仿宋" w:cs="仿宋"/>
                <w:spacing w:val="11"/>
                <w:sz w:val="19"/>
                <w:szCs w:val="19"/>
              </w:rPr>
              <w:t>12</w:t>
            </w:r>
            <w:r>
              <w:rPr>
                <w:rFonts w:ascii="仿宋" w:hAnsi="仿宋" w:eastAsia="仿宋" w:cs="仿宋"/>
                <w:spacing w:val="11"/>
                <w:sz w:val="19"/>
                <w:szCs w:val="19"/>
              </w:rPr>
              <w:t xml:space="preserve"> 分</w:t>
            </w:r>
            <w:r>
              <w:rPr>
                <w:rFonts w:ascii="仿宋" w:hAnsi="仿宋" w:eastAsia="仿宋" w:cs="仿宋"/>
                <w:spacing w:val="10"/>
                <w:sz w:val="19"/>
                <w:szCs w:val="19"/>
              </w:rPr>
              <w:t>)</w:t>
            </w:r>
          </w:p>
        </w:tc>
        <w:tc>
          <w:tcPr>
            <w:tcW w:w="1507" w:type="dxa"/>
            <w:tcBorders>
              <w:left w:val="single" w:color="auto" w:sz="4" w:space="0"/>
            </w:tcBorders>
          </w:tcPr>
          <w:p w14:paraId="33F4E60F">
            <w:pPr>
              <w:spacing w:line="459" w:lineRule="auto"/>
              <w:rPr>
                <w:rFonts w:ascii="Arial"/>
              </w:rPr>
            </w:pPr>
          </w:p>
          <w:p w14:paraId="2ABB4F31">
            <w:pPr>
              <w:spacing w:before="61" w:line="314" w:lineRule="auto"/>
              <w:ind w:left="123" w:right="103" w:hanging="17"/>
              <w:rPr>
                <w:rFonts w:ascii="Arial" w:eastAsia="仿宋"/>
              </w:rPr>
            </w:pPr>
            <w:r>
              <w:rPr>
                <w:rFonts w:ascii="仿宋" w:hAnsi="仿宋" w:eastAsia="仿宋" w:cs="仿宋"/>
                <w:spacing w:val="-4"/>
                <w:sz w:val="19"/>
                <w:szCs w:val="19"/>
              </w:rPr>
              <w:t>B</w:t>
            </w:r>
            <w:r>
              <w:rPr>
                <w:rFonts w:hint="eastAsia" w:ascii="仿宋" w:hAnsi="仿宋" w:eastAsia="仿宋" w:cs="仿宋"/>
                <w:spacing w:val="-7"/>
                <w:sz w:val="19"/>
                <w:szCs w:val="19"/>
              </w:rPr>
              <w:t>21</w:t>
            </w:r>
            <w:r>
              <w:rPr>
                <w:rFonts w:hint="eastAsia" w:ascii="仿宋" w:hAnsi="仿宋" w:eastAsia="仿宋" w:cs="仿宋"/>
                <w:spacing w:val="-4"/>
                <w:sz w:val="19"/>
                <w:szCs w:val="19"/>
              </w:rPr>
              <w:t>预算管理制度健全性</w:t>
            </w:r>
          </w:p>
        </w:tc>
        <w:tc>
          <w:tcPr>
            <w:tcW w:w="1228" w:type="dxa"/>
          </w:tcPr>
          <w:p w14:paraId="3E58D080">
            <w:pPr>
              <w:spacing w:line="324" w:lineRule="auto"/>
              <w:jc w:val="center"/>
              <w:rPr>
                <w:rFonts w:ascii="Arial"/>
              </w:rPr>
            </w:pPr>
          </w:p>
          <w:p w14:paraId="1C581B0D">
            <w:pPr>
              <w:spacing w:line="325" w:lineRule="auto"/>
              <w:jc w:val="center"/>
              <w:rPr>
                <w:rFonts w:ascii="Arial"/>
              </w:rPr>
            </w:pPr>
          </w:p>
          <w:p w14:paraId="4CDB26EB">
            <w:pPr>
              <w:spacing w:before="62" w:line="185" w:lineRule="auto"/>
              <w:ind w:left="431"/>
              <w:rPr>
                <w:rFonts w:ascii="Arial"/>
              </w:rPr>
            </w:pPr>
            <w:r>
              <w:rPr>
                <w:rFonts w:hint="eastAsia" w:ascii="仿宋" w:hAnsi="仿宋" w:eastAsia="仿宋" w:cs="仿宋"/>
                <w:spacing w:val="4"/>
                <w:sz w:val="19"/>
                <w:szCs w:val="19"/>
              </w:rPr>
              <w:t>健全</w:t>
            </w:r>
          </w:p>
        </w:tc>
        <w:tc>
          <w:tcPr>
            <w:tcW w:w="2563" w:type="dxa"/>
          </w:tcPr>
          <w:p w14:paraId="2DABFBB5">
            <w:pPr>
              <w:spacing w:before="62" w:line="315" w:lineRule="auto"/>
              <w:ind w:right="42"/>
              <w:rPr>
                <w:rFonts w:ascii="Arial" w:eastAsia="仿宋"/>
              </w:rPr>
            </w:pPr>
            <w:r>
              <w:rPr>
                <w:rFonts w:hint="eastAsia" w:ascii="仿宋" w:hAnsi="仿宋" w:eastAsia="仿宋" w:cs="仿宋"/>
                <w:spacing w:val="-8"/>
                <w:sz w:val="19"/>
                <w:szCs w:val="19"/>
              </w:rPr>
              <w:t>考察部门预算管理制度是否健全，如： 是否建立健全预算管理岗位责任制、是否建立预算申请、执行等流程。</w:t>
            </w:r>
          </w:p>
        </w:tc>
        <w:tc>
          <w:tcPr>
            <w:tcW w:w="3808" w:type="dxa"/>
          </w:tcPr>
          <w:p w14:paraId="7E7CA7DB">
            <w:pPr>
              <w:spacing w:before="54" w:line="288" w:lineRule="auto"/>
              <w:ind w:left="118" w:hanging="15"/>
              <w:rPr>
                <w:rFonts w:ascii="仿宋" w:hAnsi="仿宋" w:eastAsia="仿宋" w:cs="仿宋"/>
                <w:spacing w:val="5"/>
                <w:sz w:val="19"/>
                <w:szCs w:val="19"/>
              </w:rPr>
            </w:pPr>
            <w:r>
              <w:rPr>
                <w:rFonts w:hint="eastAsia" w:ascii="仿宋" w:hAnsi="仿宋" w:eastAsia="仿宋" w:cs="仿宋"/>
                <w:spacing w:val="5"/>
                <w:sz w:val="19"/>
                <w:szCs w:val="19"/>
              </w:rPr>
              <w:t>1.部门制定有预算管理制度，制定是否健全完善。</w:t>
            </w:r>
            <w:r>
              <w:rPr>
                <w:rFonts w:hint="eastAsia" w:ascii="仿宋" w:hAnsi="仿宋" w:eastAsia="仿宋" w:cs="仿宋"/>
                <w:spacing w:val="5"/>
                <w:sz w:val="19"/>
                <w:szCs w:val="19"/>
              </w:rPr>
              <w:br w:type="textWrapping"/>
            </w:r>
            <w:r>
              <w:rPr>
                <w:rFonts w:hint="eastAsia" w:ascii="仿宋" w:hAnsi="仿宋" w:eastAsia="仿宋" w:cs="仿宋"/>
                <w:spacing w:val="5"/>
                <w:sz w:val="19"/>
                <w:szCs w:val="19"/>
              </w:rPr>
              <w:t>2.预算管理流程是否完善。</w:t>
            </w:r>
          </w:p>
          <w:p w14:paraId="272E74D9">
            <w:pPr>
              <w:spacing w:before="54" w:line="288" w:lineRule="auto"/>
              <w:ind w:left="118" w:hanging="15"/>
              <w:rPr>
                <w:rFonts w:ascii="仿宋" w:hAnsi="仿宋" w:eastAsia="仿宋" w:cs="仿宋"/>
                <w:sz w:val="19"/>
                <w:szCs w:val="19"/>
              </w:rPr>
            </w:pPr>
            <w:r>
              <w:rPr>
                <w:rFonts w:hint="eastAsia" w:ascii="仿宋" w:hAnsi="仿宋" w:eastAsia="仿宋" w:cs="仿宋"/>
                <w:spacing w:val="5"/>
                <w:sz w:val="19"/>
                <w:szCs w:val="19"/>
              </w:rPr>
              <w:t>以上 2 项各占 1/2 权重分， 符合得对应权重分，否则不得分。</w:t>
            </w:r>
          </w:p>
        </w:tc>
        <w:tc>
          <w:tcPr>
            <w:tcW w:w="801" w:type="dxa"/>
          </w:tcPr>
          <w:p w14:paraId="58A3D228">
            <w:pPr>
              <w:spacing w:line="324" w:lineRule="auto"/>
              <w:jc w:val="center"/>
              <w:rPr>
                <w:rFonts w:ascii="Arial"/>
              </w:rPr>
            </w:pPr>
          </w:p>
          <w:p w14:paraId="778B4FAA">
            <w:pPr>
              <w:spacing w:line="325" w:lineRule="auto"/>
              <w:jc w:val="center"/>
              <w:rPr>
                <w:rFonts w:ascii="Arial"/>
              </w:rPr>
            </w:pPr>
          </w:p>
          <w:p w14:paraId="334379D1">
            <w:pPr>
              <w:spacing w:before="62" w:line="185" w:lineRule="auto"/>
              <w:jc w:val="center"/>
              <w:rPr>
                <w:rFonts w:ascii="Arial"/>
              </w:rPr>
            </w:pPr>
            <w:r>
              <w:rPr>
                <w:rFonts w:hint="eastAsia" w:ascii="仿宋" w:hAnsi="仿宋" w:eastAsia="仿宋" w:cs="仿宋"/>
                <w:sz w:val="19"/>
                <w:szCs w:val="19"/>
              </w:rPr>
              <w:t>2</w:t>
            </w:r>
          </w:p>
        </w:tc>
        <w:tc>
          <w:tcPr>
            <w:tcW w:w="809" w:type="dxa"/>
          </w:tcPr>
          <w:p w14:paraId="3378DB0E">
            <w:pPr>
              <w:spacing w:line="324" w:lineRule="auto"/>
              <w:jc w:val="center"/>
              <w:rPr>
                <w:rFonts w:ascii="Arial"/>
              </w:rPr>
            </w:pPr>
          </w:p>
          <w:p w14:paraId="7B0BC7A2">
            <w:pPr>
              <w:spacing w:line="325" w:lineRule="auto"/>
              <w:jc w:val="center"/>
              <w:rPr>
                <w:rFonts w:ascii="Arial"/>
              </w:rPr>
            </w:pPr>
          </w:p>
          <w:p w14:paraId="0D3EBC35">
            <w:pPr>
              <w:spacing w:before="62" w:line="185" w:lineRule="auto"/>
              <w:jc w:val="center"/>
              <w:rPr>
                <w:rFonts w:ascii="Arial"/>
              </w:rPr>
            </w:pPr>
            <w:r>
              <w:rPr>
                <w:rFonts w:hint="eastAsia" w:ascii="仿宋" w:hAnsi="仿宋" w:eastAsia="仿宋" w:cs="仿宋"/>
                <w:sz w:val="19"/>
                <w:szCs w:val="19"/>
              </w:rPr>
              <w:t>2</w:t>
            </w:r>
          </w:p>
        </w:tc>
      </w:tr>
      <w:tr w14:paraId="78A331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4" w:hRule="atLeast"/>
        </w:trPr>
        <w:tc>
          <w:tcPr>
            <w:tcW w:w="1713" w:type="dxa"/>
            <w:vMerge w:val="continue"/>
            <w:tcBorders>
              <w:top w:val="single" w:color="auto" w:sz="4" w:space="0"/>
              <w:left w:val="single" w:color="auto" w:sz="4" w:space="0"/>
              <w:bottom w:val="single" w:color="auto" w:sz="4" w:space="0"/>
            </w:tcBorders>
          </w:tcPr>
          <w:p w14:paraId="2D4C6341">
            <w:pPr>
              <w:rPr>
                <w:rFonts w:ascii="Arial"/>
              </w:rPr>
            </w:pPr>
          </w:p>
        </w:tc>
        <w:tc>
          <w:tcPr>
            <w:tcW w:w="1526" w:type="dxa"/>
            <w:vMerge w:val="continue"/>
            <w:tcBorders>
              <w:top w:val="single" w:color="auto" w:sz="4" w:space="0"/>
              <w:bottom w:val="single" w:color="auto" w:sz="4" w:space="0"/>
              <w:right w:val="single" w:color="auto" w:sz="4" w:space="0"/>
            </w:tcBorders>
          </w:tcPr>
          <w:p w14:paraId="01860EA3">
            <w:pPr>
              <w:rPr>
                <w:rFonts w:ascii="Arial"/>
              </w:rPr>
            </w:pPr>
          </w:p>
        </w:tc>
        <w:tc>
          <w:tcPr>
            <w:tcW w:w="1507" w:type="dxa"/>
            <w:tcBorders>
              <w:left w:val="single" w:color="auto" w:sz="4" w:space="0"/>
            </w:tcBorders>
          </w:tcPr>
          <w:p w14:paraId="45941F8D">
            <w:pPr>
              <w:spacing w:line="305" w:lineRule="auto"/>
              <w:rPr>
                <w:rFonts w:ascii="Arial"/>
              </w:rPr>
            </w:pPr>
          </w:p>
          <w:p w14:paraId="498BE08C">
            <w:pPr>
              <w:spacing w:before="62" w:line="314" w:lineRule="auto"/>
              <w:ind w:left="126" w:right="104" w:hanging="20"/>
              <w:rPr>
                <w:rFonts w:ascii="仿宋" w:hAnsi="仿宋" w:eastAsia="仿宋" w:cs="仿宋"/>
                <w:sz w:val="19"/>
                <w:szCs w:val="19"/>
              </w:rPr>
            </w:pPr>
            <w:r>
              <w:rPr>
                <w:rFonts w:ascii="仿宋" w:hAnsi="仿宋" w:eastAsia="仿宋" w:cs="仿宋"/>
                <w:sz w:val="19"/>
                <w:szCs w:val="19"/>
              </w:rPr>
              <w:t>B</w:t>
            </w:r>
            <w:r>
              <w:rPr>
                <w:rFonts w:hint="eastAsia" w:ascii="仿宋" w:hAnsi="仿宋" w:eastAsia="仿宋" w:cs="仿宋"/>
                <w:sz w:val="19"/>
                <w:szCs w:val="19"/>
              </w:rPr>
              <w:t>22</w:t>
            </w:r>
            <w:r>
              <w:rPr>
                <w:rFonts w:hint="eastAsia" w:ascii="仿宋" w:hAnsi="仿宋" w:eastAsia="仿宋" w:cs="仿宋"/>
                <w:spacing w:val="7"/>
                <w:sz w:val="19"/>
                <w:szCs w:val="19"/>
              </w:rPr>
              <w:t>非税收入管理合规性</w:t>
            </w:r>
          </w:p>
        </w:tc>
        <w:tc>
          <w:tcPr>
            <w:tcW w:w="1228" w:type="dxa"/>
          </w:tcPr>
          <w:p w14:paraId="6CC99B72">
            <w:pPr>
              <w:spacing w:line="459" w:lineRule="auto"/>
              <w:jc w:val="center"/>
              <w:rPr>
                <w:rFonts w:ascii="Arial"/>
              </w:rPr>
            </w:pPr>
          </w:p>
          <w:p w14:paraId="10AE8489">
            <w:pPr>
              <w:spacing w:before="62" w:line="230" w:lineRule="auto"/>
              <w:ind w:left="422"/>
              <w:rPr>
                <w:rFonts w:ascii="仿宋" w:hAnsi="仿宋" w:eastAsia="仿宋" w:cs="仿宋"/>
                <w:sz w:val="19"/>
                <w:szCs w:val="19"/>
              </w:rPr>
            </w:pPr>
            <w:r>
              <w:rPr>
                <w:rFonts w:hint="eastAsia" w:ascii="仿宋" w:hAnsi="仿宋" w:eastAsia="仿宋" w:cs="仿宋"/>
                <w:spacing w:val="4"/>
                <w:sz w:val="19"/>
                <w:szCs w:val="19"/>
              </w:rPr>
              <w:t>合规</w:t>
            </w:r>
          </w:p>
        </w:tc>
        <w:tc>
          <w:tcPr>
            <w:tcW w:w="2563" w:type="dxa"/>
          </w:tcPr>
          <w:p w14:paraId="35E770EB">
            <w:pPr>
              <w:spacing w:before="211" w:line="311" w:lineRule="auto"/>
              <w:ind w:left="120" w:right="105"/>
              <w:rPr>
                <w:rFonts w:ascii="仿宋" w:hAnsi="仿宋" w:eastAsia="仿宋" w:cs="仿宋"/>
                <w:sz w:val="19"/>
                <w:szCs w:val="19"/>
              </w:rPr>
            </w:pPr>
            <w:r>
              <w:rPr>
                <w:rFonts w:hint="eastAsia" w:ascii="仿宋" w:hAnsi="仿宋" w:eastAsia="仿宋" w:cs="仿宋"/>
                <w:sz w:val="19"/>
                <w:szCs w:val="19"/>
              </w:rPr>
              <w:t>考察非税收入管理是否合规；非税收入相关台账是否健全。</w:t>
            </w:r>
          </w:p>
        </w:tc>
        <w:tc>
          <w:tcPr>
            <w:tcW w:w="3808" w:type="dxa"/>
          </w:tcPr>
          <w:p w14:paraId="53A934A3">
            <w:pPr>
              <w:spacing w:before="56" w:line="312" w:lineRule="exact"/>
              <w:ind w:left="128"/>
              <w:rPr>
                <w:rFonts w:ascii="仿宋" w:hAnsi="仿宋" w:eastAsia="仿宋" w:cs="仿宋"/>
                <w:sz w:val="19"/>
                <w:szCs w:val="19"/>
              </w:rPr>
            </w:pPr>
            <w:r>
              <w:rPr>
                <w:rFonts w:ascii="仿宋" w:hAnsi="仿宋" w:eastAsia="仿宋" w:cs="仿宋"/>
                <w:spacing w:val="11"/>
                <w:position w:val="9"/>
                <w:sz w:val="19"/>
                <w:szCs w:val="19"/>
              </w:rPr>
              <w:t>1</w:t>
            </w:r>
            <w:r>
              <w:rPr>
                <w:rFonts w:ascii="仿宋" w:hAnsi="仿宋" w:eastAsia="仿宋" w:cs="仿宋"/>
                <w:spacing w:val="6"/>
                <w:position w:val="9"/>
                <w:sz w:val="19"/>
                <w:szCs w:val="19"/>
              </w:rPr>
              <w:t>.</w:t>
            </w:r>
            <w:r>
              <w:rPr>
                <w:rFonts w:hint="eastAsia" w:ascii="仿宋" w:hAnsi="仿宋" w:eastAsia="仿宋" w:cs="仿宋"/>
                <w:spacing w:val="6"/>
                <w:position w:val="9"/>
                <w:sz w:val="19"/>
                <w:szCs w:val="19"/>
              </w:rPr>
              <w:t>非税收入</w:t>
            </w:r>
            <w:r>
              <w:rPr>
                <w:rFonts w:ascii="仿宋" w:hAnsi="仿宋" w:eastAsia="仿宋" w:cs="仿宋"/>
                <w:spacing w:val="6"/>
                <w:position w:val="9"/>
                <w:sz w:val="19"/>
                <w:szCs w:val="19"/>
              </w:rPr>
              <w:t>按要求</w:t>
            </w:r>
            <w:r>
              <w:rPr>
                <w:rFonts w:hint="eastAsia" w:ascii="仿宋" w:hAnsi="仿宋" w:eastAsia="仿宋" w:cs="仿宋"/>
                <w:spacing w:val="6"/>
                <w:position w:val="9"/>
                <w:sz w:val="19"/>
                <w:szCs w:val="19"/>
              </w:rPr>
              <w:t>相关制度管理</w:t>
            </w:r>
            <w:r>
              <w:rPr>
                <w:rFonts w:ascii="仿宋" w:hAnsi="仿宋" w:eastAsia="仿宋" w:cs="仿宋"/>
                <w:spacing w:val="6"/>
                <w:position w:val="9"/>
                <w:sz w:val="19"/>
                <w:szCs w:val="19"/>
              </w:rPr>
              <w:t>；</w:t>
            </w:r>
          </w:p>
          <w:p w14:paraId="25C0D4AD">
            <w:pPr>
              <w:spacing w:line="252" w:lineRule="exact"/>
              <w:ind w:left="115"/>
              <w:rPr>
                <w:rFonts w:ascii="仿宋" w:hAnsi="仿宋" w:eastAsia="仿宋" w:cs="仿宋"/>
                <w:sz w:val="19"/>
                <w:szCs w:val="19"/>
              </w:rPr>
            </w:pPr>
            <w:r>
              <w:rPr>
                <w:rFonts w:ascii="仿宋" w:hAnsi="仿宋" w:eastAsia="仿宋" w:cs="仿宋"/>
                <w:spacing w:val="12"/>
                <w:position w:val="1"/>
                <w:sz w:val="19"/>
                <w:szCs w:val="19"/>
              </w:rPr>
              <w:t>2</w:t>
            </w:r>
            <w:r>
              <w:rPr>
                <w:rFonts w:ascii="仿宋" w:hAnsi="仿宋" w:eastAsia="仿宋" w:cs="仿宋"/>
                <w:spacing w:val="7"/>
                <w:position w:val="1"/>
                <w:sz w:val="19"/>
                <w:szCs w:val="19"/>
              </w:rPr>
              <w:t>.</w:t>
            </w:r>
            <w:r>
              <w:rPr>
                <w:rFonts w:hint="eastAsia" w:ascii="仿宋" w:hAnsi="仿宋" w:eastAsia="仿宋" w:cs="仿宋"/>
                <w:spacing w:val="7"/>
                <w:position w:val="1"/>
                <w:sz w:val="19"/>
                <w:szCs w:val="19"/>
              </w:rPr>
              <w:t>非税收入台账完整健全</w:t>
            </w:r>
            <w:r>
              <w:rPr>
                <w:rFonts w:ascii="仿宋" w:hAnsi="仿宋" w:eastAsia="仿宋" w:cs="仿宋"/>
                <w:spacing w:val="7"/>
                <w:position w:val="1"/>
                <w:sz w:val="19"/>
                <w:szCs w:val="19"/>
              </w:rPr>
              <w:t>。</w:t>
            </w:r>
          </w:p>
          <w:p w14:paraId="63749373">
            <w:pPr>
              <w:spacing w:before="59" w:line="265" w:lineRule="auto"/>
              <w:ind w:left="126" w:right="103" w:firstLine="13"/>
              <w:rPr>
                <w:rFonts w:ascii="仿宋" w:hAnsi="仿宋" w:eastAsia="仿宋" w:cs="仿宋"/>
                <w:sz w:val="19"/>
                <w:szCs w:val="19"/>
              </w:rPr>
            </w:pPr>
            <w:r>
              <w:rPr>
                <w:rFonts w:ascii="仿宋" w:hAnsi="仿宋" w:eastAsia="仿宋" w:cs="仿宋"/>
                <w:spacing w:val="-8"/>
                <w:sz w:val="19"/>
                <w:szCs w:val="19"/>
              </w:rPr>
              <w:t>以</w:t>
            </w:r>
            <w:r>
              <w:rPr>
                <w:rFonts w:ascii="仿宋" w:hAnsi="仿宋" w:eastAsia="仿宋" w:cs="仿宋"/>
                <w:spacing w:val="-6"/>
                <w:sz w:val="19"/>
                <w:szCs w:val="19"/>
              </w:rPr>
              <w:t>上 2 项各占 1/2 权重分， 符合得对应权</w:t>
            </w:r>
            <w:r>
              <w:rPr>
                <w:rFonts w:ascii="仿宋" w:hAnsi="仿宋" w:eastAsia="仿宋" w:cs="仿宋"/>
                <w:spacing w:val="5"/>
                <w:sz w:val="19"/>
                <w:szCs w:val="19"/>
              </w:rPr>
              <w:t>重分，否则不得分</w:t>
            </w:r>
            <w:r>
              <w:rPr>
                <w:rFonts w:ascii="仿宋" w:hAnsi="仿宋" w:eastAsia="仿宋" w:cs="仿宋"/>
                <w:spacing w:val="4"/>
                <w:sz w:val="19"/>
                <w:szCs w:val="19"/>
              </w:rPr>
              <w:t>。</w:t>
            </w:r>
          </w:p>
        </w:tc>
        <w:tc>
          <w:tcPr>
            <w:tcW w:w="801" w:type="dxa"/>
          </w:tcPr>
          <w:p w14:paraId="1CE0F787">
            <w:pPr>
              <w:spacing w:line="247" w:lineRule="auto"/>
              <w:jc w:val="center"/>
              <w:rPr>
                <w:rFonts w:ascii="Arial"/>
              </w:rPr>
            </w:pPr>
          </w:p>
          <w:p w14:paraId="6EE82412">
            <w:pPr>
              <w:spacing w:line="248" w:lineRule="auto"/>
              <w:jc w:val="center"/>
              <w:rPr>
                <w:rFonts w:ascii="Arial"/>
              </w:rPr>
            </w:pPr>
          </w:p>
          <w:p w14:paraId="66D252C4">
            <w:pPr>
              <w:spacing w:before="62" w:line="185" w:lineRule="auto"/>
              <w:jc w:val="center"/>
              <w:rPr>
                <w:rFonts w:ascii="仿宋" w:hAnsi="仿宋" w:eastAsia="仿宋" w:cs="仿宋"/>
                <w:sz w:val="19"/>
                <w:szCs w:val="19"/>
              </w:rPr>
            </w:pPr>
            <w:r>
              <w:rPr>
                <w:rFonts w:hint="eastAsia" w:ascii="仿宋" w:hAnsi="仿宋" w:eastAsia="仿宋" w:cs="仿宋"/>
                <w:sz w:val="19"/>
                <w:szCs w:val="19"/>
              </w:rPr>
              <w:t>2</w:t>
            </w:r>
          </w:p>
        </w:tc>
        <w:tc>
          <w:tcPr>
            <w:tcW w:w="809" w:type="dxa"/>
          </w:tcPr>
          <w:p w14:paraId="57D4970D">
            <w:pPr>
              <w:spacing w:line="247" w:lineRule="auto"/>
              <w:jc w:val="center"/>
              <w:rPr>
                <w:rFonts w:ascii="Arial"/>
              </w:rPr>
            </w:pPr>
          </w:p>
          <w:p w14:paraId="6911ABFA">
            <w:pPr>
              <w:spacing w:line="248" w:lineRule="auto"/>
              <w:jc w:val="center"/>
              <w:rPr>
                <w:rFonts w:ascii="Arial"/>
              </w:rPr>
            </w:pPr>
          </w:p>
          <w:p w14:paraId="2311B17B">
            <w:pPr>
              <w:spacing w:before="62" w:line="185" w:lineRule="auto"/>
              <w:jc w:val="center"/>
              <w:rPr>
                <w:rFonts w:ascii="仿宋" w:hAnsi="仿宋" w:eastAsia="仿宋" w:cs="仿宋"/>
                <w:sz w:val="19"/>
                <w:szCs w:val="19"/>
              </w:rPr>
            </w:pPr>
            <w:r>
              <w:rPr>
                <w:rFonts w:hint="eastAsia" w:ascii="仿宋" w:hAnsi="仿宋" w:eastAsia="仿宋" w:cs="仿宋"/>
                <w:sz w:val="19"/>
                <w:szCs w:val="19"/>
              </w:rPr>
              <w:t>1.5</w:t>
            </w:r>
          </w:p>
        </w:tc>
      </w:tr>
      <w:tr w14:paraId="71470C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1713" w:type="dxa"/>
            <w:vMerge w:val="continue"/>
            <w:tcBorders>
              <w:top w:val="single" w:color="auto" w:sz="4" w:space="0"/>
              <w:left w:val="single" w:color="auto" w:sz="4" w:space="0"/>
              <w:bottom w:val="single" w:color="auto" w:sz="4" w:space="0"/>
            </w:tcBorders>
          </w:tcPr>
          <w:p w14:paraId="1808BC81">
            <w:pPr>
              <w:rPr>
                <w:rFonts w:ascii="Arial"/>
              </w:rPr>
            </w:pPr>
          </w:p>
        </w:tc>
        <w:tc>
          <w:tcPr>
            <w:tcW w:w="1526" w:type="dxa"/>
            <w:vMerge w:val="continue"/>
            <w:tcBorders>
              <w:top w:val="single" w:color="auto" w:sz="4" w:space="0"/>
              <w:bottom w:val="single" w:color="auto" w:sz="4" w:space="0"/>
              <w:right w:val="single" w:color="auto" w:sz="4" w:space="0"/>
            </w:tcBorders>
          </w:tcPr>
          <w:p w14:paraId="6B5D61F4">
            <w:pPr>
              <w:rPr>
                <w:rFonts w:ascii="Arial"/>
              </w:rPr>
            </w:pPr>
          </w:p>
        </w:tc>
        <w:tc>
          <w:tcPr>
            <w:tcW w:w="1507" w:type="dxa"/>
            <w:tcBorders>
              <w:left w:val="single" w:color="auto" w:sz="4" w:space="0"/>
            </w:tcBorders>
          </w:tcPr>
          <w:p w14:paraId="2C855C14">
            <w:pPr>
              <w:spacing w:line="309" w:lineRule="auto"/>
              <w:rPr>
                <w:rFonts w:ascii="Arial"/>
              </w:rPr>
            </w:pPr>
          </w:p>
          <w:p w14:paraId="0E634D60">
            <w:pPr>
              <w:spacing w:before="62" w:line="313" w:lineRule="auto"/>
              <w:ind w:right="104" w:firstLine="190" w:firstLineChars="100"/>
              <w:rPr>
                <w:rFonts w:ascii="仿宋" w:hAnsi="仿宋" w:eastAsia="仿宋" w:cs="仿宋"/>
                <w:sz w:val="19"/>
                <w:szCs w:val="19"/>
              </w:rPr>
            </w:pPr>
            <w:r>
              <w:rPr>
                <w:rFonts w:ascii="仿宋" w:hAnsi="仿宋" w:eastAsia="仿宋" w:cs="仿宋"/>
                <w:sz w:val="19"/>
                <w:szCs w:val="19"/>
              </w:rPr>
              <w:t>B</w:t>
            </w:r>
            <w:r>
              <w:rPr>
                <w:rFonts w:ascii="仿宋" w:hAnsi="仿宋" w:eastAsia="仿宋" w:cs="仿宋"/>
                <w:spacing w:val="7"/>
                <w:sz w:val="19"/>
                <w:szCs w:val="19"/>
              </w:rPr>
              <w:t>2</w:t>
            </w:r>
            <w:r>
              <w:rPr>
                <w:rFonts w:hint="eastAsia" w:ascii="仿宋" w:hAnsi="仿宋" w:eastAsia="仿宋" w:cs="仿宋"/>
                <w:spacing w:val="7"/>
                <w:sz w:val="19"/>
                <w:szCs w:val="19"/>
              </w:rPr>
              <w:t>3预决算信息公开度</w:t>
            </w:r>
          </w:p>
        </w:tc>
        <w:tc>
          <w:tcPr>
            <w:tcW w:w="1228" w:type="dxa"/>
          </w:tcPr>
          <w:p w14:paraId="4337F23D">
            <w:pPr>
              <w:spacing w:line="257" w:lineRule="auto"/>
              <w:jc w:val="center"/>
              <w:rPr>
                <w:rFonts w:ascii="Arial"/>
              </w:rPr>
            </w:pPr>
          </w:p>
          <w:p w14:paraId="0073F289">
            <w:pPr>
              <w:spacing w:line="257" w:lineRule="auto"/>
              <w:jc w:val="center"/>
              <w:rPr>
                <w:rFonts w:ascii="Arial"/>
              </w:rPr>
            </w:pPr>
          </w:p>
          <w:p w14:paraId="55C87034">
            <w:pPr>
              <w:spacing w:before="62" w:line="228" w:lineRule="auto"/>
              <w:jc w:val="center"/>
              <w:rPr>
                <w:rFonts w:ascii="仿宋" w:hAnsi="仿宋" w:eastAsia="仿宋" w:cs="仿宋"/>
                <w:sz w:val="19"/>
                <w:szCs w:val="19"/>
              </w:rPr>
            </w:pPr>
            <w:r>
              <w:rPr>
                <w:rFonts w:hint="eastAsia" w:ascii="仿宋" w:hAnsi="仿宋" w:eastAsia="仿宋" w:cs="仿宋"/>
                <w:spacing w:val="4"/>
                <w:sz w:val="19"/>
                <w:szCs w:val="19"/>
              </w:rPr>
              <w:t>公开</w:t>
            </w:r>
          </w:p>
        </w:tc>
        <w:tc>
          <w:tcPr>
            <w:tcW w:w="2563" w:type="dxa"/>
          </w:tcPr>
          <w:p w14:paraId="01D35889">
            <w:pPr>
              <w:spacing w:before="61" w:line="290" w:lineRule="auto"/>
              <w:ind w:left="119" w:right="105"/>
              <w:rPr>
                <w:rFonts w:ascii="仿宋" w:hAnsi="仿宋" w:eastAsia="仿宋" w:cs="仿宋"/>
                <w:sz w:val="19"/>
                <w:szCs w:val="19"/>
              </w:rPr>
            </w:pPr>
            <w:r>
              <w:rPr>
                <w:rFonts w:ascii="仿宋" w:hAnsi="仿宋" w:eastAsia="仿宋" w:cs="仿宋"/>
                <w:spacing w:val="7"/>
                <w:sz w:val="19"/>
                <w:szCs w:val="19"/>
              </w:rPr>
              <w:t>预</w:t>
            </w:r>
            <w:r>
              <w:rPr>
                <w:rFonts w:ascii="仿宋" w:hAnsi="仿宋" w:eastAsia="仿宋" w:cs="仿宋"/>
                <w:spacing w:val="4"/>
                <w:sz w:val="19"/>
                <w:szCs w:val="19"/>
              </w:rPr>
              <w:t>决算是否在“双平台”进</w:t>
            </w:r>
            <w:r>
              <w:rPr>
                <w:rFonts w:ascii="仿宋" w:hAnsi="仿宋" w:eastAsia="仿宋" w:cs="仿宋"/>
                <w:spacing w:val="7"/>
                <w:sz w:val="19"/>
                <w:szCs w:val="19"/>
              </w:rPr>
              <w:t>行</w:t>
            </w:r>
            <w:r>
              <w:rPr>
                <w:rFonts w:ascii="仿宋" w:hAnsi="仿宋" w:eastAsia="仿宋" w:cs="仿宋"/>
                <w:spacing w:val="4"/>
                <w:sz w:val="19"/>
                <w:szCs w:val="19"/>
              </w:rPr>
              <w:t>公开，内容和时限是否符</w:t>
            </w:r>
            <w:r>
              <w:rPr>
                <w:rFonts w:ascii="仿宋" w:hAnsi="仿宋" w:eastAsia="仿宋" w:cs="仿宋"/>
                <w:spacing w:val="-2"/>
                <w:sz w:val="19"/>
                <w:szCs w:val="19"/>
              </w:rPr>
              <w:t>合要求</w:t>
            </w:r>
            <w:r>
              <w:rPr>
                <w:rFonts w:ascii="仿宋" w:hAnsi="仿宋" w:eastAsia="仿宋" w:cs="仿宋"/>
                <w:spacing w:val="-1"/>
                <w:sz w:val="19"/>
                <w:szCs w:val="19"/>
              </w:rPr>
              <w:t>。</w:t>
            </w:r>
          </w:p>
        </w:tc>
        <w:tc>
          <w:tcPr>
            <w:tcW w:w="3808" w:type="dxa"/>
          </w:tcPr>
          <w:p w14:paraId="57727F04">
            <w:pPr>
              <w:spacing w:before="56" w:line="312" w:lineRule="exact"/>
              <w:ind w:left="128"/>
              <w:rPr>
                <w:rFonts w:ascii="仿宋" w:hAnsi="仿宋" w:eastAsia="仿宋" w:cs="仿宋"/>
                <w:sz w:val="19"/>
                <w:szCs w:val="19"/>
              </w:rPr>
            </w:pPr>
            <w:r>
              <w:rPr>
                <w:rFonts w:ascii="仿宋" w:hAnsi="仿宋" w:eastAsia="仿宋" w:cs="仿宋"/>
                <w:spacing w:val="11"/>
                <w:position w:val="9"/>
                <w:sz w:val="19"/>
                <w:szCs w:val="19"/>
              </w:rPr>
              <w:t>1</w:t>
            </w:r>
            <w:r>
              <w:rPr>
                <w:rFonts w:ascii="仿宋" w:hAnsi="仿宋" w:eastAsia="仿宋" w:cs="仿宋"/>
                <w:spacing w:val="6"/>
                <w:position w:val="9"/>
                <w:sz w:val="19"/>
                <w:szCs w:val="19"/>
              </w:rPr>
              <w:t>.预算按要求及时公开；</w:t>
            </w:r>
          </w:p>
          <w:p w14:paraId="035381E4">
            <w:pPr>
              <w:spacing w:line="252" w:lineRule="exact"/>
              <w:ind w:left="115"/>
              <w:rPr>
                <w:rFonts w:ascii="仿宋" w:hAnsi="仿宋" w:eastAsia="仿宋" w:cs="仿宋"/>
                <w:sz w:val="19"/>
                <w:szCs w:val="19"/>
              </w:rPr>
            </w:pPr>
            <w:r>
              <w:rPr>
                <w:rFonts w:ascii="仿宋" w:hAnsi="仿宋" w:eastAsia="仿宋" w:cs="仿宋"/>
                <w:spacing w:val="12"/>
                <w:position w:val="1"/>
                <w:sz w:val="19"/>
                <w:szCs w:val="19"/>
              </w:rPr>
              <w:t>2</w:t>
            </w:r>
            <w:r>
              <w:rPr>
                <w:rFonts w:ascii="仿宋" w:hAnsi="仿宋" w:eastAsia="仿宋" w:cs="仿宋"/>
                <w:spacing w:val="7"/>
                <w:position w:val="1"/>
                <w:sz w:val="19"/>
                <w:szCs w:val="19"/>
              </w:rPr>
              <w:t>.决算按要求及时公开。</w:t>
            </w:r>
          </w:p>
          <w:p w14:paraId="3DE09652">
            <w:pPr>
              <w:spacing w:line="314" w:lineRule="auto"/>
              <w:ind w:left="126" w:right="103" w:firstLine="13"/>
              <w:rPr>
                <w:rFonts w:ascii="仿宋" w:hAnsi="仿宋" w:eastAsia="仿宋" w:cs="仿宋"/>
                <w:sz w:val="19"/>
                <w:szCs w:val="19"/>
              </w:rPr>
            </w:pPr>
            <w:r>
              <w:rPr>
                <w:rFonts w:ascii="仿宋" w:hAnsi="仿宋" w:eastAsia="仿宋" w:cs="仿宋"/>
                <w:spacing w:val="-8"/>
                <w:sz w:val="19"/>
                <w:szCs w:val="19"/>
              </w:rPr>
              <w:t>以</w:t>
            </w:r>
            <w:r>
              <w:rPr>
                <w:rFonts w:ascii="仿宋" w:hAnsi="仿宋" w:eastAsia="仿宋" w:cs="仿宋"/>
                <w:spacing w:val="-6"/>
                <w:sz w:val="19"/>
                <w:szCs w:val="19"/>
              </w:rPr>
              <w:t>上 2 项各占 1/2 权重分， 符合得对应权</w:t>
            </w:r>
            <w:r>
              <w:rPr>
                <w:rFonts w:ascii="仿宋" w:hAnsi="仿宋" w:eastAsia="仿宋" w:cs="仿宋"/>
                <w:spacing w:val="5"/>
                <w:sz w:val="19"/>
                <w:szCs w:val="19"/>
              </w:rPr>
              <w:t>重分，否则不得分</w:t>
            </w:r>
            <w:r>
              <w:rPr>
                <w:rFonts w:ascii="仿宋" w:hAnsi="仿宋" w:eastAsia="仿宋" w:cs="仿宋"/>
                <w:spacing w:val="4"/>
                <w:sz w:val="19"/>
                <w:szCs w:val="19"/>
              </w:rPr>
              <w:t>。</w:t>
            </w:r>
          </w:p>
        </w:tc>
        <w:tc>
          <w:tcPr>
            <w:tcW w:w="801" w:type="dxa"/>
          </w:tcPr>
          <w:p w14:paraId="0C70332D">
            <w:pPr>
              <w:spacing w:line="270" w:lineRule="auto"/>
              <w:jc w:val="center"/>
              <w:rPr>
                <w:rFonts w:ascii="Arial"/>
              </w:rPr>
            </w:pPr>
          </w:p>
          <w:p w14:paraId="35C2EEC0">
            <w:pPr>
              <w:spacing w:before="62" w:line="185" w:lineRule="auto"/>
              <w:ind w:left="372"/>
              <w:jc w:val="center"/>
              <w:rPr>
                <w:rFonts w:ascii="仿宋" w:hAnsi="仿宋" w:eastAsia="仿宋" w:cs="仿宋"/>
                <w:sz w:val="19"/>
                <w:szCs w:val="19"/>
              </w:rPr>
            </w:pPr>
          </w:p>
          <w:p w14:paraId="3B549E9C">
            <w:pPr>
              <w:spacing w:before="62" w:line="185" w:lineRule="auto"/>
              <w:jc w:val="center"/>
              <w:rPr>
                <w:rFonts w:ascii="仿宋" w:hAnsi="仿宋" w:eastAsia="仿宋" w:cs="仿宋"/>
                <w:sz w:val="19"/>
                <w:szCs w:val="19"/>
              </w:rPr>
            </w:pPr>
            <w:r>
              <w:rPr>
                <w:rFonts w:hint="eastAsia" w:ascii="仿宋" w:hAnsi="仿宋" w:eastAsia="仿宋" w:cs="仿宋"/>
                <w:sz w:val="19"/>
                <w:szCs w:val="19"/>
              </w:rPr>
              <w:t>2</w:t>
            </w:r>
          </w:p>
        </w:tc>
        <w:tc>
          <w:tcPr>
            <w:tcW w:w="809" w:type="dxa"/>
          </w:tcPr>
          <w:p w14:paraId="5EEF0A31">
            <w:pPr>
              <w:spacing w:line="269" w:lineRule="auto"/>
              <w:jc w:val="center"/>
              <w:rPr>
                <w:rFonts w:ascii="Arial"/>
              </w:rPr>
            </w:pPr>
          </w:p>
          <w:p w14:paraId="64D448AD">
            <w:pPr>
              <w:spacing w:line="270" w:lineRule="auto"/>
              <w:jc w:val="center"/>
              <w:rPr>
                <w:rFonts w:ascii="Arial"/>
              </w:rPr>
            </w:pPr>
          </w:p>
          <w:p w14:paraId="2ED8BBB8">
            <w:pPr>
              <w:spacing w:before="62" w:line="184" w:lineRule="auto"/>
              <w:jc w:val="center"/>
              <w:rPr>
                <w:rFonts w:ascii="仿宋" w:hAnsi="仿宋" w:eastAsia="仿宋" w:cs="仿宋"/>
                <w:sz w:val="19"/>
                <w:szCs w:val="19"/>
              </w:rPr>
            </w:pPr>
            <w:r>
              <w:rPr>
                <w:rFonts w:hint="eastAsia" w:ascii="仿宋" w:hAnsi="仿宋" w:eastAsia="仿宋" w:cs="仿宋"/>
                <w:spacing w:val="3"/>
                <w:sz w:val="19"/>
                <w:szCs w:val="19"/>
              </w:rPr>
              <w:t>2</w:t>
            </w:r>
          </w:p>
        </w:tc>
      </w:tr>
      <w:tr w14:paraId="08FBB9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1713" w:type="dxa"/>
            <w:vMerge w:val="continue"/>
            <w:tcBorders>
              <w:top w:val="single" w:color="auto" w:sz="4" w:space="0"/>
              <w:left w:val="single" w:color="auto" w:sz="4" w:space="0"/>
              <w:bottom w:val="single" w:color="auto" w:sz="4" w:space="0"/>
            </w:tcBorders>
          </w:tcPr>
          <w:p w14:paraId="7E806828">
            <w:pPr>
              <w:rPr>
                <w:rFonts w:ascii="Arial"/>
              </w:rPr>
            </w:pPr>
          </w:p>
        </w:tc>
        <w:tc>
          <w:tcPr>
            <w:tcW w:w="1526" w:type="dxa"/>
            <w:vMerge w:val="continue"/>
            <w:tcBorders>
              <w:top w:val="single" w:color="auto" w:sz="4" w:space="0"/>
              <w:bottom w:val="single" w:color="auto" w:sz="4" w:space="0"/>
              <w:right w:val="single" w:color="auto" w:sz="4" w:space="0"/>
            </w:tcBorders>
          </w:tcPr>
          <w:p w14:paraId="4F0DD746">
            <w:pPr>
              <w:rPr>
                <w:rFonts w:ascii="Arial"/>
              </w:rPr>
            </w:pPr>
          </w:p>
        </w:tc>
        <w:tc>
          <w:tcPr>
            <w:tcW w:w="1507" w:type="dxa"/>
            <w:tcBorders>
              <w:left w:val="single" w:color="auto" w:sz="4" w:space="0"/>
            </w:tcBorders>
            <w:vAlign w:val="center"/>
          </w:tcPr>
          <w:p w14:paraId="2D2D7C30">
            <w:pPr>
              <w:spacing w:before="62" w:line="313" w:lineRule="auto"/>
              <w:ind w:right="104" w:firstLine="190" w:firstLineChars="100"/>
              <w:rPr>
                <w:rFonts w:ascii="仿宋" w:hAnsi="仿宋" w:eastAsia="仿宋" w:cs="仿宋"/>
                <w:sz w:val="19"/>
                <w:szCs w:val="19"/>
              </w:rPr>
            </w:pPr>
            <w:r>
              <w:rPr>
                <w:rFonts w:ascii="仿宋" w:hAnsi="仿宋" w:eastAsia="仿宋" w:cs="仿宋"/>
                <w:sz w:val="19"/>
                <w:szCs w:val="19"/>
              </w:rPr>
              <w:t>B</w:t>
            </w:r>
            <w:r>
              <w:rPr>
                <w:rFonts w:ascii="仿宋" w:hAnsi="仿宋" w:eastAsia="仿宋" w:cs="仿宋"/>
                <w:spacing w:val="7"/>
                <w:sz w:val="19"/>
                <w:szCs w:val="19"/>
              </w:rPr>
              <w:t>2</w:t>
            </w:r>
            <w:r>
              <w:rPr>
                <w:rFonts w:hint="eastAsia" w:ascii="仿宋" w:hAnsi="仿宋" w:eastAsia="仿宋" w:cs="仿宋"/>
                <w:spacing w:val="7"/>
                <w:sz w:val="19"/>
                <w:szCs w:val="19"/>
              </w:rPr>
              <w:t>4基础信息完善性</w:t>
            </w:r>
          </w:p>
        </w:tc>
        <w:tc>
          <w:tcPr>
            <w:tcW w:w="1228" w:type="dxa"/>
            <w:vAlign w:val="center"/>
          </w:tcPr>
          <w:p w14:paraId="22C31D2A">
            <w:pPr>
              <w:spacing w:before="62" w:line="228" w:lineRule="auto"/>
              <w:jc w:val="center"/>
              <w:rPr>
                <w:rFonts w:ascii="仿宋" w:hAnsi="仿宋" w:eastAsia="仿宋" w:cs="仿宋"/>
                <w:spacing w:val="4"/>
                <w:sz w:val="19"/>
                <w:szCs w:val="19"/>
              </w:rPr>
            </w:pPr>
            <w:r>
              <w:rPr>
                <w:rFonts w:hint="eastAsia" w:ascii="仿宋" w:hAnsi="仿宋" w:eastAsia="仿宋" w:cs="仿宋"/>
                <w:spacing w:val="4"/>
                <w:sz w:val="19"/>
                <w:szCs w:val="19"/>
              </w:rPr>
              <w:t>完善</w:t>
            </w:r>
          </w:p>
        </w:tc>
        <w:tc>
          <w:tcPr>
            <w:tcW w:w="2563" w:type="dxa"/>
            <w:vAlign w:val="center"/>
          </w:tcPr>
          <w:p w14:paraId="6427173F">
            <w:pPr>
              <w:spacing w:before="61" w:line="290" w:lineRule="auto"/>
              <w:ind w:left="119" w:right="105"/>
              <w:rPr>
                <w:rFonts w:ascii="仿宋" w:hAnsi="仿宋" w:eastAsia="仿宋" w:cs="仿宋"/>
                <w:spacing w:val="7"/>
                <w:sz w:val="19"/>
                <w:szCs w:val="19"/>
              </w:rPr>
            </w:pPr>
            <w:r>
              <w:rPr>
                <w:rFonts w:hint="eastAsia" w:ascii="仿宋" w:hAnsi="仿宋" w:eastAsia="仿宋" w:cs="仿宋"/>
                <w:spacing w:val="7"/>
                <w:sz w:val="19"/>
                <w:szCs w:val="19"/>
              </w:rPr>
              <w:t>考察部门预决算基础信息是否完善。</w:t>
            </w:r>
          </w:p>
        </w:tc>
        <w:tc>
          <w:tcPr>
            <w:tcW w:w="3808" w:type="dxa"/>
            <w:vAlign w:val="center"/>
          </w:tcPr>
          <w:p w14:paraId="1EC575F4">
            <w:pPr>
              <w:spacing w:before="56" w:line="312" w:lineRule="exact"/>
              <w:ind w:left="128"/>
              <w:rPr>
                <w:rFonts w:ascii="仿宋" w:hAnsi="仿宋" w:eastAsia="仿宋" w:cs="仿宋"/>
                <w:sz w:val="19"/>
                <w:szCs w:val="19"/>
              </w:rPr>
            </w:pPr>
            <w:r>
              <w:rPr>
                <w:rFonts w:ascii="仿宋" w:hAnsi="仿宋" w:eastAsia="仿宋" w:cs="仿宋"/>
                <w:spacing w:val="11"/>
                <w:position w:val="9"/>
                <w:sz w:val="19"/>
                <w:szCs w:val="19"/>
              </w:rPr>
              <w:t>1</w:t>
            </w:r>
            <w:r>
              <w:rPr>
                <w:rFonts w:ascii="仿宋" w:hAnsi="仿宋" w:eastAsia="仿宋" w:cs="仿宋"/>
                <w:spacing w:val="6"/>
                <w:position w:val="9"/>
                <w:sz w:val="19"/>
                <w:szCs w:val="19"/>
              </w:rPr>
              <w:t>.预算</w:t>
            </w:r>
            <w:r>
              <w:rPr>
                <w:rFonts w:hint="eastAsia" w:ascii="仿宋" w:hAnsi="仿宋" w:eastAsia="仿宋" w:cs="仿宋"/>
                <w:spacing w:val="6"/>
                <w:position w:val="9"/>
                <w:sz w:val="19"/>
                <w:szCs w:val="19"/>
              </w:rPr>
              <w:t>基础信息填报完整准确</w:t>
            </w:r>
            <w:r>
              <w:rPr>
                <w:rFonts w:ascii="仿宋" w:hAnsi="仿宋" w:eastAsia="仿宋" w:cs="仿宋"/>
                <w:spacing w:val="6"/>
                <w:position w:val="9"/>
                <w:sz w:val="19"/>
                <w:szCs w:val="19"/>
              </w:rPr>
              <w:t>；</w:t>
            </w:r>
          </w:p>
          <w:p w14:paraId="5726994D">
            <w:pPr>
              <w:spacing w:line="252" w:lineRule="exact"/>
              <w:ind w:left="115"/>
              <w:rPr>
                <w:rFonts w:ascii="仿宋" w:hAnsi="仿宋" w:eastAsia="仿宋" w:cs="仿宋"/>
                <w:sz w:val="19"/>
                <w:szCs w:val="19"/>
              </w:rPr>
            </w:pPr>
            <w:r>
              <w:rPr>
                <w:rFonts w:ascii="仿宋" w:hAnsi="仿宋" w:eastAsia="仿宋" w:cs="仿宋"/>
                <w:spacing w:val="12"/>
                <w:position w:val="1"/>
                <w:sz w:val="19"/>
                <w:szCs w:val="19"/>
              </w:rPr>
              <w:t>2</w:t>
            </w:r>
            <w:r>
              <w:rPr>
                <w:rFonts w:ascii="仿宋" w:hAnsi="仿宋" w:eastAsia="仿宋" w:cs="仿宋"/>
                <w:spacing w:val="7"/>
                <w:position w:val="1"/>
                <w:sz w:val="19"/>
                <w:szCs w:val="19"/>
              </w:rPr>
              <w:t>.决算</w:t>
            </w:r>
            <w:r>
              <w:rPr>
                <w:rFonts w:hint="eastAsia" w:ascii="仿宋" w:hAnsi="仿宋" w:eastAsia="仿宋" w:cs="仿宋"/>
                <w:spacing w:val="7"/>
                <w:position w:val="1"/>
                <w:sz w:val="19"/>
                <w:szCs w:val="19"/>
              </w:rPr>
              <w:t>基础信息填报完整准确</w:t>
            </w:r>
            <w:r>
              <w:rPr>
                <w:rFonts w:ascii="仿宋" w:hAnsi="仿宋" w:eastAsia="仿宋" w:cs="仿宋"/>
                <w:spacing w:val="7"/>
                <w:position w:val="1"/>
                <w:sz w:val="19"/>
                <w:szCs w:val="19"/>
              </w:rPr>
              <w:t>。</w:t>
            </w:r>
          </w:p>
          <w:p w14:paraId="1111B0C3">
            <w:pPr>
              <w:spacing w:line="314" w:lineRule="auto"/>
              <w:ind w:left="126" w:right="103" w:firstLine="13"/>
              <w:rPr>
                <w:rFonts w:ascii="仿宋" w:hAnsi="仿宋" w:eastAsia="仿宋" w:cs="仿宋"/>
                <w:spacing w:val="-8"/>
                <w:sz w:val="19"/>
                <w:szCs w:val="19"/>
              </w:rPr>
            </w:pPr>
            <w:r>
              <w:rPr>
                <w:rFonts w:ascii="仿宋" w:hAnsi="仿宋" w:eastAsia="仿宋" w:cs="仿宋"/>
                <w:spacing w:val="-8"/>
                <w:sz w:val="19"/>
                <w:szCs w:val="19"/>
              </w:rPr>
              <w:t>以</w:t>
            </w:r>
            <w:r>
              <w:rPr>
                <w:rFonts w:ascii="仿宋" w:hAnsi="仿宋" w:eastAsia="仿宋" w:cs="仿宋"/>
                <w:spacing w:val="-6"/>
                <w:sz w:val="19"/>
                <w:szCs w:val="19"/>
              </w:rPr>
              <w:t>上 2 项各占 1/2 权重分， 符合得对应权</w:t>
            </w:r>
            <w:r>
              <w:rPr>
                <w:rFonts w:ascii="仿宋" w:hAnsi="仿宋" w:eastAsia="仿宋" w:cs="仿宋"/>
                <w:spacing w:val="5"/>
                <w:sz w:val="19"/>
                <w:szCs w:val="19"/>
              </w:rPr>
              <w:t>重分，否则不得分</w:t>
            </w:r>
            <w:r>
              <w:rPr>
                <w:rFonts w:ascii="仿宋" w:hAnsi="仿宋" w:eastAsia="仿宋" w:cs="仿宋"/>
                <w:spacing w:val="4"/>
                <w:sz w:val="19"/>
                <w:szCs w:val="19"/>
              </w:rPr>
              <w:t>。</w:t>
            </w:r>
          </w:p>
        </w:tc>
        <w:tc>
          <w:tcPr>
            <w:tcW w:w="801" w:type="dxa"/>
            <w:vAlign w:val="center"/>
          </w:tcPr>
          <w:p w14:paraId="093B7034">
            <w:pPr>
              <w:spacing w:before="62" w:line="185" w:lineRule="auto"/>
              <w:jc w:val="center"/>
              <w:rPr>
                <w:rFonts w:ascii="仿宋" w:hAnsi="仿宋" w:eastAsia="仿宋" w:cs="仿宋"/>
                <w:sz w:val="19"/>
                <w:szCs w:val="19"/>
              </w:rPr>
            </w:pPr>
            <w:r>
              <w:rPr>
                <w:rFonts w:hint="eastAsia" w:ascii="仿宋" w:hAnsi="仿宋" w:eastAsia="仿宋" w:cs="仿宋"/>
                <w:sz w:val="19"/>
                <w:szCs w:val="19"/>
              </w:rPr>
              <w:t>2</w:t>
            </w:r>
          </w:p>
        </w:tc>
        <w:tc>
          <w:tcPr>
            <w:tcW w:w="809" w:type="dxa"/>
            <w:vAlign w:val="center"/>
          </w:tcPr>
          <w:p w14:paraId="21B2AB37">
            <w:pPr>
              <w:spacing w:before="62" w:line="184" w:lineRule="auto"/>
              <w:jc w:val="center"/>
              <w:rPr>
                <w:rFonts w:ascii="仿宋" w:hAnsi="仿宋" w:eastAsia="仿宋" w:cs="仿宋"/>
                <w:spacing w:val="3"/>
                <w:sz w:val="19"/>
                <w:szCs w:val="19"/>
              </w:rPr>
            </w:pPr>
            <w:r>
              <w:rPr>
                <w:rFonts w:hint="eastAsia" w:ascii="仿宋" w:hAnsi="仿宋" w:eastAsia="仿宋" w:cs="仿宋"/>
                <w:spacing w:val="3"/>
                <w:sz w:val="19"/>
                <w:szCs w:val="19"/>
              </w:rPr>
              <w:t>2</w:t>
            </w:r>
          </w:p>
        </w:tc>
      </w:tr>
      <w:tr w14:paraId="1E9BEC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1713" w:type="dxa"/>
            <w:vMerge w:val="continue"/>
            <w:tcBorders>
              <w:top w:val="single" w:color="auto" w:sz="4" w:space="0"/>
              <w:left w:val="single" w:color="auto" w:sz="4" w:space="0"/>
              <w:bottom w:val="single" w:color="auto" w:sz="4" w:space="0"/>
            </w:tcBorders>
          </w:tcPr>
          <w:p w14:paraId="25D610F8">
            <w:pPr>
              <w:rPr>
                <w:rFonts w:ascii="Arial"/>
              </w:rPr>
            </w:pPr>
          </w:p>
        </w:tc>
        <w:tc>
          <w:tcPr>
            <w:tcW w:w="1526" w:type="dxa"/>
            <w:vMerge w:val="continue"/>
            <w:tcBorders>
              <w:top w:val="single" w:color="auto" w:sz="4" w:space="0"/>
              <w:bottom w:val="single" w:color="auto" w:sz="4" w:space="0"/>
              <w:right w:val="single" w:color="auto" w:sz="4" w:space="0"/>
            </w:tcBorders>
          </w:tcPr>
          <w:p w14:paraId="79B97CDF">
            <w:pPr>
              <w:rPr>
                <w:rFonts w:ascii="Arial"/>
              </w:rPr>
            </w:pPr>
          </w:p>
        </w:tc>
        <w:tc>
          <w:tcPr>
            <w:tcW w:w="1507" w:type="dxa"/>
            <w:tcBorders>
              <w:left w:val="single" w:color="auto" w:sz="4" w:space="0"/>
            </w:tcBorders>
            <w:vAlign w:val="center"/>
          </w:tcPr>
          <w:p w14:paraId="3A60C3CF">
            <w:pPr>
              <w:spacing w:before="62" w:line="313" w:lineRule="auto"/>
              <w:ind w:right="104" w:firstLine="190" w:firstLineChars="100"/>
              <w:rPr>
                <w:rFonts w:ascii="仿宋" w:hAnsi="仿宋" w:eastAsia="仿宋" w:cs="仿宋"/>
                <w:sz w:val="19"/>
                <w:szCs w:val="19"/>
              </w:rPr>
            </w:pPr>
            <w:r>
              <w:rPr>
                <w:rFonts w:ascii="仿宋" w:hAnsi="仿宋" w:eastAsia="仿宋" w:cs="仿宋"/>
                <w:sz w:val="19"/>
                <w:szCs w:val="19"/>
              </w:rPr>
              <w:t>B</w:t>
            </w:r>
            <w:r>
              <w:rPr>
                <w:rFonts w:ascii="仿宋" w:hAnsi="仿宋" w:eastAsia="仿宋" w:cs="仿宋"/>
                <w:spacing w:val="7"/>
                <w:sz w:val="19"/>
                <w:szCs w:val="19"/>
              </w:rPr>
              <w:t>2</w:t>
            </w:r>
            <w:r>
              <w:rPr>
                <w:rFonts w:hint="eastAsia" w:ascii="仿宋" w:hAnsi="仿宋" w:eastAsia="仿宋" w:cs="仿宋"/>
                <w:spacing w:val="7"/>
                <w:sz w:val="19"/>
                <w:szCs w:val="19"/>
              </w:rPr>
              <w:t>5绩效管理覆盖率</w:t>
            </w:r>
          </w:p>
        </w:tc>
        <w:tc>
          <w:tcPr>
            <w:tcW w:w="1228" w:type="dxa"/>
            <w:vAlign w:val="center"/>
          </w:tcPr>
          <w:p w14:paraId="580DF1A3">
            <w:pPr>
              <w:spacing w:before="62" w:line="228" w:lineRule="auto"/>
              <w:jc w:val="center"/>
              <w:rPr>
                <w:rFonts w:ascii="仿宋" w:hAnsi="仿宋" w:eastAsia="仿宋" w:cs="仿宋"/>
                <w:spacing w:val="4"/>
                <w:sz w:val="19"/>
                <w:szCs w:val="19"/>
              </w:rPr>
            </w:pPr>
            <w:r>
              <w:rPr>
                <w:rFonts w:hint="eastAsia" w:ascii="仿宋" w:hAnsi="仿宋" w:eastAsia="仿宋" w:cs="仿宋"/>
                <w:spacing w:val="4"/>
                <w:sz w:val="19"/>
                <w:szCs w:val="19"/>
              </w:rPr>
              <w:t>100%</w:t>
            </w:r>
          </w:p>
        </w:tc>
        <w:tc>
          <w:tcPr>
            <w:tcW w:w="2563" w:type="dxa"/>
            <w:vAlign w:val="center"/>
          </w:tcPr>
          <w:p w14:paraId="08160D9A">
            <w:pPr>
              <w:spacing w:before="61" w:line="290" w:lineRule="auto"/>
              <w:ind w:left="119" w:right="105"/>
              <w:rPr>
                <w:rFonts w:ascii="仿宋" w:hAnsi="仿宋" w:eastAsia="仿宋" w:cs="仿宋"/>
                <w:spacing w:val="7"/>
                <w:sz w:val="19"/>
                <w:szCs w:val="19"/>
              </w:rPr>
            </w:pPr>
            <w:r>
              <w:rPr>
                <w:rFonts w:hint="eastAsia" w:ascii="仿宋" w:hAnsi="仿宋" w:eastAsia="仿宋" w:cs="仿宋"/>
                <w:spacing w:val="7"/>
                <w:sz w:val="19"/>
                <w:szCs w:val="19"/>
              </w:rPr>
              <w:t>考察部门绩效管理工作覆盖情况。</w:t>
            </w:r>
          </w:p>
        </w:tc>
        <w:tc>
          <w:tcPr>
            <w:tcW w:w="3808" w:type="dxa"/>
            <w:vAlign w:val="center"/>
          </w:tcPr>
          <w:p w14:paraId="2E9FBD48">
            <w:pPr>
              <w:spacing w:line="314" w:lineRule="auto"/>
              <w:ind w:left="126" w:right="103" w:firstLine="13"/>
              <w:rPr>
                <w:rFonts w:ascii="仿宋" w:hAnsi="仿宋" w:eastAsia="仿宋" w:cs="仿宋"/>
                <w:spacing w:val="-8"/>
                <w:sz w:val="19"/>
                <w:szCs w:val="19"/>
              </w:rPr>
            </w:pPr>
            <w:r>
              <w:rPr>
                <w:rFonts w:hint="eastAsia" w:ascii="仿宋" w:hAnsi="仿宋" w:eastAsia="仿宋" w:cs="仿宋"/>
                <w:sz w:val="19"/>
                <w:szCs w:val="19"/>
              </w:rPr>
              <w:t>部门绩效管理工作覆盖重点工作任务。 全覆盖得满分， 否则酌情得分。</w:t>
            </w:r>
          </w:p>
        </w:tc>
        <w:tc>
          <w:tcPr>
            <w:tcW w:w="801" w:type="dxa"/>
            <w:vAlign w:val="center"/>
          </w:tcPr>
          <w:p w14:paraId="155A3F4A">
            <w:pPr>
              <w:spacing w:before="62" w:line="185" w:lineRule="auto"/>
              <w:jc w:val="center"/>
              <w:rPr>
                <w:rFonts w:ascii="仿宋" w:hAnsi="仿宋" w:eastAsia="仿宋" w:cs="仿宋"/>
                <w:sz w:val="19"/>
                <w:szCs w:val="19"/>
              </w:rPr>
            </w:pPr>
            <w:r>
              <w:rPr>
                <w:rFonts w:hint="eastAsia" w:ascii="仿宋" w:hAnsi="仿宋" w:eastAsia="仿宋" w:cs="仿宋"/>
                <w:sz w:val="19"/>
                <w:szCs w:val="19"/>
              </w:rPr>
              <w:t>2</w:t>
            </w:r>
          </w:p>
        </w:tc>
        <w:tc>
          <w:tcPr>
            <w:tcW w:w="809" w:type="dxa"/>
            <w:vAlign w:val="center"/>
          </w:tcPr>
          <w:p w14:paraId="66B2618D">
            <w:pPr>
              <w:spacing w:before="62" w:line="184" w:lineRule="auto"/>
              <w:jc w:val="center"/>
              <w:rPr>
                <w:rFonts w:ascii="仿宋" w:hAnsi="仿宋" w:eastAsia="仿宋" w:cs="仿宋"/>
                <w:spacing w:val="3"/>
                <w:sz w:val="19"/>
                <w:szCs w:val="19"/>
              </w:rPr>
            </w:pPr>
            <w:r>
              <w:rPr>
                <w:rFonts w:hint="eastAsia" w:ascii="仿宋" w:hAnsi="仿宋" w:eastAsia="仿宋" w:cs="仿宋"/>
                <w:spacing w:val="3"/>
                <w:sz w:val="19"/>
                <w:szCs w:val="19"/>
              </w:rPr>
              <w:t>2</w:t>
            </w:r>
          </w:p>
        </w:tc>
      </w:tr>
      <w:tr w14:paraId="4EF86C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1713" w:type="dxa"/>
            <w:vMerge w:val="continue"/>
            <w:tcBorders>
              <w:top w:val="single" w:color="auto" w:sz="4" w:space="0"/>
              <w:left w:val="single" w:color="auto" w:sz="4" w:space="0"/>
              <w:bottom w:val="single" w:color="auto" w:sz="4" w:space="0"/>
            </w:tcBorders>
          </w:tcPr>
          <w:p w14:paraId="3625E69F">
            <w:pPr>
              <w:rPr>
                <w:rFonts w:ascii="Arial"/>
              </w:rPr>
            </w:pPr>
          </w:p>
        </w:tc>
        <w:tc>
          <w:tcPr>
            <w:tcW w:w="1526" w:type="dxa"/>
            <w:vMerge w:val="continue"/>
            <w:tcBorders>
              <w:top w:val="single" w:color="auto" w:sz="4" w:space="0"/>
              <w:bottom w:val="single" w:color="auto" w:sz="4" w:space="0"/>
              <w:right w:val="single" w:color="auto" w:sz="4" w:space="0"/>
            </w:tcBorders>
          </w:tcPr>
          <w:p w14:paraId="71DB4F36">
            <w:pPr>
              <w:rPr>
                <w:rFonts w:ascii="Arial"/>
              </w:rPr>
            </w:pPr>
          </w:p>
        </w:tc>
        <w:tc>
          <w:tcPr>
            <w:tcW w:w="1507" w:type="dxa"/>
            <w:tcBorders>
              <w:left w:val="single" w:color="auto" w:sz="4" w:space="0"/>
            </w:tcBorders>
            <w:vAlign w:val="center"/>
          </w:tcPr>
          <w:p w14:paraId="130F5D7D">
            <w:pPr>
              <w:spacing w:before="62" w:line="313" w:lineRule="auto"/>
              <w:ind w:right="104" w:firstLine="190" w:firstLineChars="100"/>
              <w:rPr>
                <w:rFonts w:ascii="仿宋" w:hAnsi="仿宋" w:eastAsia="仿宋" w:cs="仿宋"/>
                <w:sz w:val="19"/>
                <w:szCs w:val="19"/>
              </w:rPr>
            </w:pPr>
            <w:r>
              <w:rPr>
                <w:rFonts w:ascii="仿宋" w:hAnsi="仿宋" w:eastAsia="仿宋" w:cs="仿宋"/>
                <w:sz w:val="19"/>
                <w:szCs w:val="19"/>
              </w:rPr>
              <w:t>B</w:t>
            </w:r>
            <w:r>
              <w:rPr>
                <w:rFonts w:ascii="仿宋" w:hAnsi="仿宋" w:eastAsia="仿宋" w:cs="仿宋"/>
                <w:spacing w:val="7"/>
                <w:sz w:val="19"/>
                <w:szCs w:val="19"/>
              </w:rPr>
              <w:t>2</w:t>
            </w:r>
            <w:r>
              <w:rPr>
                <w:rFonts w:hint="eastAsia" w:ascii="仿宋" w:hAnsi="仿宋" w:eastAsia="仿宋" w:cs="仿宋"/>
                <w:spacing w:val="7"/>
                <w:sz w:val="19"/>
                <w:szCs w:val="19"/>
              </w:rPr>
              <w:t>6资金使用合规性</w:t>
            </w:r>
          </w:p>
        </w:tc>
        <w:tc>
          <w:tcPr>
            <w:tcW w:w="1228" w:type="dxa"/>
            <w:vAlign w:val="center"/>
          </w:tcPr>
          <w:p w14:paraId="727E4EE7">
            <w:pPr>
              <w:spacing w:before="62" w:line="228" w:lineRule="auto"/>
              <w:jc w:val="center"/>
              <w:rPr>
                <w:rFonts w:ascii="仿宋" w:hAnsi="仿宋" w:eastAsia="仿宋" w:cs="仿宋"/>
                <w:spacing w:val="4"/>
                <w:sz w:val="19"/>
                <w:szCs w:val="19"/>
              </w:rPr>
            </w:pPr>
            <w:r>
              <w:rPr>
                <w:rFonts w:hint="eastAsia" w:ascii="仿宋" w:hAnsi="仿宋" w:eastAsia="仿宋" w:cs="仿宋"/>
                <w:spacing w:val="4"/>
                <w:sz w:val="19"/>
                <w:szCs w:val="19"/>
              </w:rPr>
              <w:t>合规</w:t>
            </w:r>
          </w:p>
        </w:tc>
        <w:tc>
          <w:tcPr>
            <w:tcW w:w="2563" w:type="dxa"/>
            <w:vAlign w:val="center"/>
          </w:tcPr>
          <w:p w14:paraId="67DB2776">
            <w:pPr>
              <w:spacing w:before="61" w:line="290" w:lineRule="auto"/>
              <w:ind w:left="119" w:right="105"/>
              <w:rPr>
                <w:rFonts w:ascii="仿宋" w:hAnsi="仿宋" w:eastAsia="仿宋" w:cs="仿宋"/>
                <w:spacing w:val="7"/>
                <w:sz w:val="19"/>
                <w:szCs w:val="19"/>
              </w:rPr>
            </w:pPr>
            <w:r>
              <w:rPr>
                <w:rFonts w:ascii="仿宋" w:hAnsi="仿宋" w:eastAsia="仿宋" w:cs="仿宋"/>
                <w:spacing w:val="22"/>
                <w:sz w:val="19"/>
                <w:szCs w:val="19"/>
              </w:rPr>
              <w:t>考察部门</w:t>
            </w:r>
            <w:r>
              <w:rPr>
                <w:rFonts w:hint="eastAsia" w:ascii="仿宋" w:hAnsi="仿宋" w:eastAsia="仿宋" w:cs="仿宋"/>
                <w:spacing w:val="22"/>
                <w:sz w:val="19"/>
                <w:szCs w:val="19"/>
              </w:rPr>
              <w:t>资金使用</w:t>
            </w:r>
            <w:r>
              <w:rPr>
                <w:rFonts w:ascii="仿宋" w:hAnsi="仿宋" w:eastAsia="仿宋" w:cs="仿宋"/>
                <w:spacing w:val="22"/>
                <w:sz w:val="19"/>
                <w:szCs w:val="19"/>
              </w:rPr>
              <w:t>管理制度</w:t>
            </w:r>
            <w:r>
              <w:rPr>
                <w:rFonts w:ascii="仿宋" w:hAnsi="仿宋" w:eastAsia="仿宋" w:cs="仿宋"/>
                <w:spacing w:val="20"/>
                <w:sz w:val="19"/>
                <w:szCs w:val="19"/>
              </w:rPr>
              <w:t>是</w:t>
            </w:r>
            <w:r>
              <w:rPr>
                <w:rFonts w:ascii="仿宋" w:hAnsi="仿宋" w:eastAsia="仿宋" w:cs="仿宋"/>
                <w:spacing w:val="-6"/>
                <w:sz w:val="19"/>
                <w:szCs w:val="19"/>
              </w:rPr>
              <w:t>否</w:t>
            </w:r>
            <w:r>
              <w:rPr>
                <w:rFonts w:ascii="仿宋" w:hAnsi="仿宋" w:eastAsia="仿宋" w:cs="仿宋"/>
                <w:spacing w:val="-3"/>
                <w:sz w:val="19"/>
                <w:szCs w:val="19"/>
              </w:rPr>
              <w:t>健全</w:t>
            </w:r>
            <w:r>
              <w:rPr>
                <w:rFonts w:hint="eastAsia" w:ascii="仿宋" w:hAnsi="仿宋" w:eastAsia="仿宋" w:cs="仿宋"/>
                <w:spacing w:val="-3"/>
                <w:sz w:val="19"/>
                <w:szCs w:val="19"/>
              </w:rPr>
              <w:t>；</w:t>
            </w:r>
            <w:r>
              <w:rPr>
                <w:rFonts w:ascii="仿宋" w:hAnsi="仿宋" w:eastAsia="仿宋" w:cs="仿宋"/>
                <w:spacing w:val="22"/>
                <w:sz w:val="19"/>
                <w:szCs w:val="19"/>
              </w:rPr>
              <w:t>资金</w:t>
            </w:r>
            <w:r>
              <w:rPr>
                <w:rFonts w:hint="eastAsia" w:ascii="仿宋" w:hAnsi="仿宋" w:eastAsia="仿宋" w:cs="仿宋"/>
                <w:spacing w:val="22"/>
                <w:sz w:val="19"/>
                <w:szCs w:val="19"/>
              </w:rPr>
              <w:t>使用流程是否合规</w:t>
            </w:r>
            <w:r>
              <w:rPr>
                <w:rFonts w:ascii="仿宋" w:hAnsi="仿宋" w:eastAsia="仿宋" w:cs="仿宋"/>
                <w:spacing w:val="5"/>
                <w:sz w:val="19"/>
                <w:szCs w:val="19"/>
              </w:rPr>
              <w:t>；</w:t>
            </w:r>
            <w:r>
              <w:rPr>
                <w:rFonts w:hint="eastAsia" w:ascii="仿宋" w:hAnsi="仿宋" w:eastAsia="仿宋" w:cs="仿宋"/>
                <w:spacing w:val="4"/>
                <w:sz w:val="19"/>
                <w:szCs w:val="19"/>
              </w:rPr>
              <w:t>资金使用台账是否完善</w:t>
            </w:r>
            <w:r>
              <w:rPr>
                <w:rFonts w:ascii="仿宋" w:hAnsi="仿宋" w:eastAsia="仿宋" w:cs="仿宋"/>
                <w:spacing w:val="3"/>
                <w:sz w:val="19"/>
                <w:szCs w:val="19"/>
              </w:rPr>
              <w:t>。</w:t>
            </w:r>
          </w:p>
        </w:tc>
        <w:tc>
          <w:tcPr>
            <w:tcW w:w="3808" w:type="dxa"/>
            <w:vAlign w:val="center"/>
          </w:tcPr>
          <w:p w14:paraId="122248E8">
            <w:pPr>
              <w:spacing w:before="56" w:line="312" w:lineRule="exact"/>
              <w:ind w:left="128"/>
              <w:rPr>
                <w:rFonts w:ascii="仿宋" w:hAnsi="仿宋" w:eastAsia="仿宋" w:cs="仿宋"/>
                <w:sz w:val="19"/>
                <w:szCs w:val="19"/>
              </w:rPr>
            </w:pPr>
            <w:r>
              <w:rPr>
                <w:rFonts w:ascii="仿宋" w:hAnsi="仿宋" w:eastAsia="仿宋" w:cs="仿宋"/>
                <w:spacing w:val="11"/>
                <w:position w:val="9"/>
                <w:sz w:val="19"/>
                <w:szCs w:val="19"/>
              </w:rPr>
              <w:t>1</w:t>
            </w:r>
            <w:r>
              <w:rPr>
                <w:rFonts w:ascii="仿宋" w:hAnsi="仿宋" w:eastAsia="仿宋" w:cs="仿宋"/>
                <w:spacing w:val="6"/>
                <w:position w:val="9"/>
                <w:sz w:val="19"/>
                <w:szCs w:val="19"/>
              </w:rPr>
              <w:t>.</w:t>
            </w:r>
            <w:r>
              <w:rPr>
                <w:rFonts w:hint="eastAsia" w:ascii="仿宋" w:hAnsi="仿宋" w:eastAsia="仿宋" w:cs="仿宋"/>
                <w:spacing w:val="6"/>
                <w:position w:val="9"/>
                <w:sz w:val="19"/>
                <w:szCs w:val="19"/>
              </w:rPr>
              <w:t>部门资金管理制度是否健全</w:t>
            </w:r>
            <w:r>
              <w:rPr>
                <w:rFonts w:ascii="仿宋" w:hAnsi="仿宋" w:eastAsia="仿宋" w:cs="仿宋"/>
                <w:spacing w:val="6"/>
                <w:position w:val="9"/>
                <w:sz w:val="19"/>
                <w:szCs w:val="19"/>
              </w:rPr>
              <w:t>；</w:t>
            </w:r>
          </w:p>
          <w:p w14:paraId="4E16F020">
            <w:pPr>
              <w:spacing w:line="252" w:lineRule="exact"/>
              <w:ind w:left="115"/>
              <w:rPr>
                <w:rFonts w:ascii="仿宋" w:hAnsi="仿宋" w:eastAsia="仿宋" w:cs="仿宋"/>
                <w:spacing w:val="7"/>
                <w:position w:val="1"/>
                <w:sz w:val="19"/>
                <w:szCs w:val="19"/>
              </w:rPr>
            </w:pPr>
            <w:r>
              <w:rPr>
                <w:rFonts w:ascii="仿宋" w:hAnsi="仿宋" w:eastAsia="仿宋" w:cs="仿宋"/>
                <w:spacing w:val="12"/>
                <w:position w:val="1"/>
                <w:sz w:val="19"/>
                <w:szCs w:val="19"/>
              </w:rPr>
              <w:t>2</w:t>
            </w:r>
            <w:r>
              <w:rPr>
                <w:rFonts w:ascii="仿宋" w:hAnsi="仿宋" w:eastAsia="仿宋" w:cs="仿宋"/>
                <w:spacing w:val="7"/>
                <w:position w:val="1"/>
                <w:sz w:val="19"/>
                <w:szCs w:val="19"/>
              </w:rPr>
              <w:t>.</w:t>
            </w:r>
            <w:r>
              <w:rPr>
                <w:rFonts w:hint="eastAsia" w:ascii="仿宋" w:hAnsi="仿宋" w:eastAsia="仿宋" w:cs="仿宋"/>
                <w:spacing w:val="7"/>
                <w:position w:val="1"/>
                <w:sz w:val="19"/>
                <w:szCs w:val="19"/>
              </w:rPr>
              <w:t>部门资金使用流程是否合规；</w:t>
            </w:r>
          </w:p>
          <w:p w14:paraId="3AD31292">
            <w:pPr>
              <w:spacing w:line="252" w:lineRule="exact"/>
              <w:ind w:left="115"/>
              <w:rPr>
                <w:rFonts w:ascii="仿宋" w:hAnsi="仿宋" w:eastAsia="仿宋" w:cs="仿宋"/>
                <w:spacing w:val="7"/>
                <w:position w:val="1"/>
                <w:sz w:val="19"/>
                <w:szCs w:val="19"/>
              </w:rPr>
            </w:pPr>
            <w:r>
              <w:rPr>
                <w:rFonts w:hint="eastAsia" w:ascii="仿宋" w:hAnsi="仿宋" w:eastAsia="仿宋" w:cs="仿宋"/>
                <w:spacing w:val="7"/>
                <w:position w:val="1"/>
                <w:sz w:val="19"/>
                <w:szCs w:val="19"/>
              </w:rPr>
              <w:t>3.部门资金使用台账是否完善。</w:t>
            </w:r>
          </w:p>
          <w:p w14:paraId="2D7DDB91">
            <w:pPr>
              <w:spacing w:line="314" w:lineRule="auto"/>
              <w:ind w:left="126" w:right="103" w:firstLine="13"/>
              <w:rPr>
                <w:rFonts w:ascii="仿宋" w:hAnsi="仿宋" w:eastAsia="仿宋" w:cs="仿宋"/>
                <w:spacing w:val="-8"/>
                <w:sz w:val="19"/>
                <w:szCs w:val="19"/>
              </w:rPr>
            </w:pPr>
            <w:r>
              <w:rPr>
                <w:rFonts w:ascii="仿宋" w:hAnsi="仿宋" w:eastAsia="仿宋" w:cs="仿宋"/>
                <w:spacing w:val="-8"/>
                <w:sz w:val="19"/>
                <w:szCs w:val="19"/>
              </w:rPr>
              <w:t>以</w:t>
            </w:r>
            <w:r>
              <w:rPr>
                <w:rFonts w:ascii="仿宋" w:hAnsi="仿宋" w:eastAsia="仿宋" w:cs="仿宋"/>
                <w:spacing w:val="-6"/>
                <w:sz w:val="19"/>
                <w:szCs w:val="19"/>
              </w:rPr>
              <w:t xml:space="preserve">上 </w:t>
            </w:r>
            <w:r>
              <w:rPr>
                <w:rFonts w:hint="eastAsia" w:ascii="仿宋" w:hAnsi="仿宋" w:eastAsia="仿宋" w:cs="仿宋"/>
                <w:spacing w:val="-6"/>
                <w:sz w:val="19"/>
                <w:szCs w:val="19"/>
              </w:rPr>
              <w:t>3</w:t>
            </w:r>
            <w:r>
              <w:rPr>
                <w:rFonts w:ascii="仿宋" w:hAnsi="仿宋" w:eastAsia="仿宋" w:cs="仿宋"/>
                <w:spacing w:val="-6"/>
                <w:sz w:val="19"/>
                <w:szCs w:val="19"/>
              </w:rPr>
              <w:t xml:space="preserve"> 项各占 1/</w:t>
            </w:r>
            <w:r>
              <w:rPr>
                <w:rFonts w:hint="eastAsia" w:ascii="仿宋" w:hAnsi="仿宋" w:eastAsia="仿宋" w:cs="仿宋"/>
                <w:spacing w:val="-6"/>
                <w:sz w:val="19"/>
                <w:szCs w:val="19"/>
              </w:rPr>
              <w:t>3</w:t>
            </w:r>
            <w:r>
              <w:rPr>
                <w:rFonts w:ascii="仿宋" w:hAnsi="仿宋" w:eastAsia="仿宋" w:cs="仿宋"/>
                <w:spacing w:val="-6"/>
                <w:sz w:val="19"/>
                <w:szCs w:val="19"/>
              </w:rPr>
              <w:t xml:space="preserve"> 权重分， 符合得对应权</w:t>
            </w:r>
            <w:r>
              <w:rPr>
                <w:rFonts w:ascii="仿宋" w:hAnsi="仿宋" w:eastAsia="仿宋" w:cs="仿宋"/>
                <w:spacing w:val="5"/>
                <w:sz w:val="19"/>
                <w:szCs w:val="19"/>
              </w:rPr>
              <w:t>重分，否则不得分</w:t>
            </w:r>
            <w:r>
              <w:rPr>
                <w:rFonts w:ascii="仿宋" w:hAnsi="仿宋" w:eastAsia="仿宋" w:cs="仿宋"/>
                <w:spacing w:val="4"/>
                <w:sz w:val="19"/>
                <w:szCs w:val="19"/>
              </w:rPr>
              <w:t>。</w:t>
            </w:r>
          </w:p>
        </w:tc>
        <w:tc>
          <w:tcPr>
            <w:tcW w:w="801" w:type="dxa"/>
            <w:vAlign w:val="center"/>
          </w:tcPr>
          <w:p w14:paraId="2F666E5D">
            <w:pPr>
              <w:spacing w:before="62" w:line="185" w:lineRule="auto"/>
              <w:jc w:val="center"/>
              <w:rPr>
                <w:rFonts w:ascii="仿宋" w:hAnsi="仿宋" w:eastAsia="仿宋" w:cs="仿宋"/>
                <w:sz w:val="19"/>
                <w:szCs w:val="19"/>
              </w:rPr>
            </w:pPr>
            <w:r>
              <w:rPr>
                <w:rFonts w:hint="eastAsia" w:ascii="仿宋" w:hAnsi="仿宋" w:eastAsia="仿宋" w:cs="仿宋"/>
                <w:sz w:val="19"/>
                <w:szCs w:val="19"/>
              </w:rPr>
              <w:t>2</w:t>
            </w:r>
          </w:p>
        </w:tc>
        <w:tc>
          <w:tcPr>
            <w:tcW w:w="809" w:type="dxa"/>
            <w:vAlign w:val="center"/>
          </w:tcPr>
          <w:p w14:paraId="7E34F165">
            <w:pPr>
              <w:spacing w:before="62" w:line="184" w:lineRule="auto"/>
              <w:jc w:val="center"/>
              <w:rPr>
                <w:rFonts w:ascii="仿宋" w:hAnsi="仿宋" w:eastAsia="仿宋" w:cs="仿宋"/>
                <w:spacing w:val="3"/>
                <w:sz w:val="19"/>
                <w:szCs w:val="19"/>
              </w:rPr>
            </w:pPr>
            <w:r>
              <w:rPr>
                <w:rFonts w:hint="eastAsia" w:ascii="仿宋" w:hAnsi="仿宋" w:eastAsia="仿宋" w:cs="仿宋"/>
                <w:spacing w:val="3"/>
                <w:sz w:val="19"/>
                <w:szCs w:val="19"/>
              </w:rPr>
              <w:t>2</w:t>
            </w:r>
          </w:p>
        </w:tc>
      </w:tr>
    </w:tbl>
    <w:p w14:paraId="1B8522C1"/>
    <w:p w14:paraId="2A1B329A"/>
    <w:p w14:paraId="17913C8D"/>
    <w:p w14:paraId="3B6E9407"/>
    <w:p w14:paraId="24768E0D"/>
    <w:tbl>
      <w:tblPr>
        <w:tblStyle w:val="10"/>
        <w:tblW w:w="139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13"/>
        <w:gridCol w:w="1526"/>
        <w:gridCol w:w="1572"/>
        <w:gridCol w:w="1163"/>
        <w:gridCol w:w="2563"/>
        <w:gridCol w:w="3808"/>
        <w:gridCol w:w="801"/>
        <w:gridCol w:w="809"/>
      </w:tblGrid>
      <w:tr w14:paraId="4F4C49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4811" w:type="dxa"/>
            <w:gridSpan w:val="3"/>
          </w:tcPr>
          <w:p w14:paraId="0A0E1895">
            <w:pPr>
              <w:spacing w:before="59" w:line="229" w:lineRule="auto"/>
              <w:ind w:left="2176"/>
              <w:rPr>
                <w:rFonts w:ascii="黑体" w:hAnsi="黑体" w:eastAsia="黑体" w:cs="黑体"/>
                <w:sz w:val="19"/>
                <w:szCs w:val="19"/>
              </w:rPr>
            </w:pPr>
            <w:r>
              <w:rPr>
                <w:rFonts w:ascii="黑体" w:hAnsi="黑体" w:eastAsia="黑体" w:cs="黑体"/>
                <w:spacing w:val="7"/>
                <w:sz w:val="19"/>
                <w:szCs w:val="19"/>
              </w:rPr>
              <w:t>指</w:t>
            </w:r>
            <w:r>
              <w:rPr>
                <w:rFonts w:ascii="黑体" w:hAnsi="黑体" w:eastAsia="黑体" w:cs="黑体"/>
                <w:spacing w:val="6"/>
                <w:sz w:val="19"/>
                <w:szCs w:val="19"/>
              </w:rPr>
              <w:t>标</w:t>
            </w:r>
          </w:p>
        </w:tc>
        <w:tc>
          <w:tcPr>
            <w:tcW w:w="1163" w:type="dxa"/>
            <w:vMerge w:val="restart"/>
            <w:tcBorders>
              <w:bottom w:val="nil"/>
            </w:tcBorders>
          </w:tcPr>
          <w:p w14:paraId="7EB1A208">
            <w:pPr>
              <w:spacing w:before="234" w:line="230" w:lineRule="auto"/>
              <w:ind w:left="313"/>
              <w:rPr>
                <w:rFonts w:ascii="黑体" w:hAnsi="黑体" w:eastAsia="黑体" w:cs="黑体"/>
                <w:sz w:val="19"/>
                <w:szCs w:val="19"/>
              </w:rPr>
            </w:pPr>
            <w:r>
              <w:rPr>
                <w:rFonts w:ascii="黑体" w:hAnsi="黑体" w:eastAsia="黑体" w:cs="黑体"/>
                <w:spacing w:val="9"/>
                <w:sz w:val="19"/>
                <w:szCs w:val="19"/>
              </w:rPr>
              <w:t>标</w:t>
            </w:r>
            <w:r>
              <w:rPr>
                <w:rFonts w:ascii="黑体" w:hAnsi="黑体" w:eastAsia="黑体" w:cs="黑体"/>
                <w:spacing w:val="8"/>
                <w:sz w:val="19"/>
                <w:szCs w:val="19"/>
              </w:rPr>
              <w:t>准值</w:t>
            </w:r>
          </w:p>
        </w:tc>
        <w:tc>
          <w:tcPr>
            <w:tcW w:w="2563" w:type="dxa"/>
            <w:vMerge w:val="restart"/>
            <w:tcBorders>
              <w:bottom w:val="nil"/>
            </w:tcBorders>
          </w:tcPr>
          <w:p w14:paraId="698740CE">
            <w:pPr>
              <w:spacing w:before="234" w:line="228" w:lineRule="auto"/>
              <w:ind w:left="886"/>
              <w:rPr>
                <w:rFonts w:ascii="黑体" w:hAnsi="黑体" w:eastAsia="黑体" w:cs="黑体"/>
                <w:sz w:val="19"/>
                <w:szCs w:val="19"/>
              </w:rPr>
            </w:pPr>
            <w:r>
              <w:rPr>
                <w:rFonts w:ascii="黑体" w:hAnsi="黑体" w:eastAsia="黑体" w:cs="黑体"/>
                <w:spacing w:val="8"/>
                <w:sz w:val="19"/>
                <w:szCs w:val="19"/>
              </w:rPr>
              <w:t>指标解释</w:t>
            </w:r>
          </w:p>
        </w:tc>
        <w:tc>
          <w:tcPr>
            <w:tcW w:w="3808" w:type="dxa"/>
            <w:vMerge w:val="restart"/>
            <w:tcBorders>
              <w:bottom w:val="nil"/>
            </w:tcBorders>
          </w:tcPr>
          <w:p w14:paraId="799426F2">
            <w:pPr>
              <w:spacing w:before="234" w:line="228" w:lineRule="auto"/>
              <w:ind w:left="1510"/>
              <w:rPr>
                <w:rFonts w:ascii="黑体" w:hAnsi="黑体" w:eastAsia="黑体" w:cs="黑体"/>
                <w:sz w:val="19"/>
                <w:szCs w:val="19"/>
              </w:rPr>
            </w:pPr>
            <w:r>
              <w:rPr>
                <w:rFonts w:ascii="黑体" w:hAnsi="黑体" w:eastAsia="黑体" w:cs="黑体"/>
                <w:spacing w:val="8"/>
                <w:sz w:val="19"/>
                <w:szCs w:val="19"/>
              </w:rPr>
              <w:t>评价标准</w:t>
            </w:r>
          </w:p>
        </w:tc>
        <w:tc>
          <w:tcPr>
            <w:tcW w:w="801" w:type="dxa"/>
            <w:vMerge w:val="restart"/>
            <w:tcBorders>
              <w:bottom w:val="nil"/>
            </w:tcBorders>
          </w:tcPr>
          <w:p w14:paraId="58A7D373">
            <w:pPr>
              <w:spacing w:before="234" w:line="230" w:lineRule="auto"/>
              <w:ind w:left="207"/>
              <w:rPr>
                <w:rFonts w:ascii="黑体" w:hAnsi="黑体" w:eastAsia="黑体" w:cs="黑体"/>
                <w:sz w:val="19"/>
                <w:szCs w:val="19"/>
              </w:rPr>
            </w:pPr>
            <w:r>
              <w:rPr>
                <w:rFonts w:ascii="黑体" w:hAnsi="黑体" w:eastAsia="黑体" w:cs="黑体"/>
                <w:spacing w:val="7"/>
                <w:sz w:val="19"/>
                <w:szCs w:val="19"/>
              </w:rPr>
              <w:t>权重</w:t>
            </w:r>
          </w:p>
        </w:tc>
        <w:tc>
          <w:tcPr>
            <w:tcW w:w="809" w:type="dxa"/>
            <w:vMerge w:val="restart"/>
            <w:tcBorders>
              <w:bottom w:val="nil"/>
            </w:tcBorders>
          </w:tcPr>
          <w:p w14:paraId="41A12B24">
            <w:pPr>
              <w:spacing w:before="234" w:line="228" w:lineRule="auto"/>
              <w:ind w:left="210"/>
              <w:rPr>
                <w:rFonts w:ascii="黑体" w:hAnsi="黑体" w:eastAsia="黑体" w:cs="黑体"/>
                <w:sz w:val="19"/>
                <w:szCs w:val="19"/>
              </w:rPr>
            </w:pPr>
            <w:r>
              <w:rPr>
                <w:rFonts w:ascii="黑体" w:hAnsi="黑体" w:eastAsia="黑体" w:cs="黑体"/>
                <w:spacing w:val="6"/>
                <w:sz w:val="19"/>
                <w:szCs w:val="19"/>
              </w:rPr>
              <w:t>得分</w:t>
            </w:r>
          </w:p>
        </w:tc>
      </w:tr>
      <w:tr w14:paraId="128727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1713" w:type="dxa"/>
          </w:tcPr>
          <w:p w14:paraId="61C01531">
            <w:pPr>
              <w:spacing w:before="69" w:line="227" w:lineRule="auto"/>
              <w:ind w:left="464"/>
              <w:rPr>
                <w:rFonts w:ascii="黑体" w:hAnsi="黑体" w:eastAsia="黑体" w:cs="黑体"/>
                <w:sz w:val="19"/>
                <w:szCs w:val="19"/>
              </w:rPr>
            </w:pPr>
            <w:r>
              <w:rPr>
                <w:rFonts w:ascii="黑体" w:hAnsi="黑体" w:eastAsia="黑体" w:cs="黑体"/>
                <w:spacing w:val="7"/>
                <w:sz w:val="19"/>
                <w:szCs w:val="19"/>
              </w:rPr>
              <w:t>一级指标</w:t>
            </w:r>
          </w:p>
        </w:tc>
        <w:tc>
          <w:tcPr>
            <w:tcW w:w="1526" w:type="dxa"/>
          </w:tcPr>
          <w:p w14:paraId="3F386525">
            <w:pPr>
              <w:spacing w:before="69" w:line="227" w:lineRule="auto"/>
              <w:ind w:left="369"/>
              <w:rPr>
                <w:rFonts w:ascii="黑体" w:hAnsi="黑体" w:eastAsia="黑体" w:cs="黑体"/>
                <w:sz w:val="19"/>
                <w:szCs w:val="19"/>
              </w:rPr>
            </w:pPr>
            <w:r>
              <w:rPr>
                <w:rFonts w:ascii="黑体" w:hAnsi="黑体" w:eastAsia="黑体" w:cs="黑体"/>
                <w:spacing w:val="7"/>
                <w:sz w:val="19"/>
                <w:szCs w:val="19"/>
              </w:rPr>
              <w:t>二级指标</w:t>
            </w:r>
          </w:p>
        </w:tc>
        <w:tc>
          <w:tcPr>
            <w:tcW w:w="1572" w:type="dxa"/>
          </w:tcPr>
          <w:p w14:paraId="0D884880">
            <w:pPr>
              <w:spacing w:before="69" w:line="227" w:lineRule="auto"/>
              <w:ind w:left="363"/>
              <w:rPr>
                <w:rFonts w:ascii="黑体" w:hAnsi="黑体" w:eastAsia="黑体" w:cs="黑体"/>
                <w:sz w:val="19"/>
                <w:szCs w:val="19"/>
              </w:rPr>
            </w:pPr>
            <w:r>
              <w:rPr>
                <w:rFonts w:ascii="黑体" w:hAnsi="黑体" w:eastAsia="黑体" w:cs="黑体"/>
                <w:spacing w:val="7"/>
                <w:sz w:val="19"/>
                <w:szCs w:val="19"/>
              </w:rPr>
              <w:t>三级指</w:t>
            </w:r>
            <w:r>
              <w:rPr>
                <w:rFonts w:ascii="黑体" w:hAnsi="黑体" w:eastAsia="黑体" w:cs="黑体"/>
                <w:spacing w:val="6"/>
                <w:sz w:val="19"/>
                <w:szCs w:val="19"/>
              </w:rPr>
              <w:t>标</w:t>
            </w:r>
          </w:p>
        </w:tc>
        <w:tc>
          <w:tcPr>
            <w:tcW w:w="1163" w:type="dxa"/>
            <w:vMerge w:val="continue"/>
            <w:tcBorders>
              <w:top w:val="nil"/>
            </w:tcBorders>
          </w:tcPr>
          <w:p w14:paraId="5E13CBF9">
            <w:pPr>
              <w:rPr>
                <w:rFonts w:ascii="Arial"/>
              </w:rPr>
            </w:pPr>
          </w:p>
        </w:tc>
        <w:tc>
          <w:tcPr>
            <w:tcW w:w="2563" w:type="dxa"/>
            <w:vMerge w:val="continue"/>
            <w:tcBorders>
              <w:top w:val="nil"/>
            </w:tcBorders>
          </w:tcPr>
          <w:p w14:paraId="448AFEA5">
            <w:pPr>
              <w:rPr>
                <w:rFonts w:ascii="Arial"/>
              </w:rPr>
            </w:pPr>
          </w:p>
        </w:tc>
        <w:tc>
          <w:tcPr>
            <w:tcW w:w="3808" w:type="dxa"/>
            <w:vMerge w:val="continue"/>
            <w:tcBorders>
              <w:top w:val="nil"/>
            </w:tcBorders>
          </w:tcPr>
          <w:p w14:paraId="019AD142">
            <w:pPr>
              <w:rPr>
                <w:rFonts w:ascii="Arial"/>
              </w:rPr>
            </w:pPr>
          </w:p>
        </w:tc>
        <w:tc>
          <w:tcPr>
            <w:tcW w:w="801" w:type="dxa"/>
            <w:vMerge w:val="continue"/>
            <w:tcBorders>
              <w:top w:val="nil"/>
            </w:tcBorders>
          </w:tcPr>
          <w:p w14:paraId="56C62231">
            <w:pPr>
              <w:rPr>
                <w:rFonts w:ascii="Arial"/>
              </w:rPr>
            </w:pPr>
          </w:p>
        </w:tc>
        <w:tc>
          <w:tcPr>
            <w:tcW w:w="809" w:type="dxa"/>
            <w:vMerge w:val="continue"/>
            <w:tcBorders>
              <w:top w:val="nil"/>
            </w:tcBorders>
          </w:tcPr>
          <w:p w14:paraId="5885F7C0">
            <w:pPr>
              <w:rPr>
                <w:rFonts w:ascii="Arial"/>
              </w:rPr>
            </w:pPr>
          </w:p>
        </w:tc>
      </w:tr>
      <w:tr w14:paraId="4CB542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1713" w:type="dxa"/>
            <w:vMerge w:val="restart"/>
          </w:tcPr>
          <w:p w14:paraId="220519CC">
            <w:pPr>
              <w:rPr>
                <w:rFonts w:ascii="Arial"/>
              </w:rPr>
            </w:pPr>
          </w:p>
        </w:tc>
        <w:tc>
          <w:tcPr>
            <w:tcW w:w="1526" w:type="dxa"/>
            <w:vMerge w:val="restart"/>
            <w:tcBorders>
              <w:bottom w:val="nil"/>
            </w:tcBorders>
          </w:tcPr>
          <w:p w14:paraId="3034EF20">
            <w:pPr>
              <w:rPr>
                <w:rFonts w:ascii="Arial"/>
              </w:rPr>
            </w:pPr>
          </w:p>
          <w:p w14:paraId="037D843F">
            <w:pPr>
              <w:jc w:val="center"/>
            </w:pPr>
          </w:p>
          <w:p w14:paraId="18B7502A">
            <w:pPr>
              <w:jc w:val="center"/>
            </w:pPr>
          </w:p>
          <w:p w14:paraId="7E5CB493">
            <w:pPr>
              <w:jc w:val="center"/>
            </w:pPr>
          </w:p>
          <w:p w14:paraId="18036077">
            <w:pPr>
              <w:spacing w:before="62" w:line="312" w:lineRule="exact"/>
              <w:jc w:val="center"/>
              <w:rPr>
                <w:rFonts w:ascii="仿宋" w:hAnsi="仿宋" w:eastAsia="仿宋" w:cs="仿宋"/>
                <w:sz w:val="19"/>
                <w:szCs w:val="19"/>
              </w:rPr>
            </w:pPr>
            <w:r>
              <w:rPr>
                <w:rFonts w:ascii="仿宋" w:hAnsi="仿宋" w:eastAsia="仿宋" w:cs="仿宋"/>
                <w:position w:val="8"/>
                <w:sz w:val="19"/>
                <w:szCs w:val="19"/>
              </w:rPr>
              <w:t>B</w:t>
            </w:r>
            <w:r>
              <w:rPr>
                <w:rFonts w:hint="eastAsia" w:ascii="仿宋" w:hAnsi="仿宋" w:eastAsia="仿宋" w:cs="仿宋"/>
                <w:spacing w:val="1"/>
                <w:position w:val="8"/>
                <w:sz w:val="19"/>
                <w:szCs w:val="19"/>
              </w:rPr>
              <w:t>3资产管理</w:t>
            </w:r>
          </w:p>
          <w:p w14:paraId="62D198CC">
            <w:pPr>
              <w:jc w:val="center"/>
            </w:pPr>
            <w:r>
              <w:rPr>
                <w:rFonts w:ascii="仿宋" w:hAnsi="仿宋" w:eastAsia="仿宋" w:cs="仿宋"/>
                <w:spacing w:val="11"/>
                <w:sz w:val="19"/>
                <w:szCs w:val="19"/>
              </w:rPr>
              <w:t>(</w:t>
            </w:r>
            <w:r>
              <w:rPr>
                <w:rFonts w:hint="eastAsia" w:ascii="仿宋" w:hAnsi="仿宋" w:eastAsia="仿宋" w:cs="仿宋"/>
                <w:spacing w:val="11"/>
                <w:sz w:val="19"/>
                <w:szCs w:val="19"/>
              </w:rPr>
              <w:t>6</w:t>
            </w:r>
            <w:r>
              <w:rPr>
                <w:rFonts w:ascii="仿宋" w:hAnsi="仿宋" w:eastAsia="仿宋" w:cs="仿宋"/>
                <w:spacing w:val="11"/>
                <w:sz w:val="19"/>
                <w:szCs w:val="19"/>
              </w:rPr>
              <w:t>分</w:t>
            </w:r>
            <w:r>
              <w:rPr>
                <w:rFonts w:ascii="仿宋" w:hAnsi="仿宋" w:eastAsia="仿宋" w:cs="仿宋"/>
                <w:spacing w:val="10"/>
                <w:sz w:val="19"/>
                <w:szCs w:val="19"/>
              </w:rPr>
              <w:t>)</w:t>
            </w:r>
          </w:p>
          <w:p w14:paraId="02C3713A">
            <w:pPr>
              <w:jc w:val="center"/>
            </w:pPr>
          </w:p>
        </w:tc>
        <w:tc>
          <w:tcPr>
            <w:tcW w:w="1572" w:type="dxa"/>
            <w:vAlign w:val="center"/>
          </w:tcPr>
          <w:p w14:paraId="593C8D71">
            <w:pPr>
              <w:spacing w:before="58" w:line="277" w:lineRule="auto"/>
              <w:ind w:right="104"/>
              <w:jc w:val="center"/>
              <w:rPr>
                <w:rFonts w:ascii="仿宋" w:hAnsi="仿宋" w:eastAsia="仿宋" w:cs="仿宋"/>
                <w:sz w:val="19"/>
                <w:szCs w:val="19"/>
              </w:rPr>
            </w:pPr>
            <w:r>
              <w:rPr>
                <w:rFonts w:ascii="仿宋" w:hAnsi="仿宋" w:eastAsia="仿宋" w:cs="仿宋"/>
                <w:sz w:val="19"/>
                <w:szCs w:val="19"/>
              </w:rPr>
              <w:t>B3</w:t>
            </w:r>
            <w:r>
              <w:rPr>
                <w:rFonts w:hint="eastAsia" w:ascii="仿宋" w:hAnsi="仿宋" w:eastAsia="仿宋" w:cs="仿宋"/>
                <w:sz w:val="19"/>
                <w:szCs w:val="19"/>
              </w:rPr>
              <w:t>1资产管理</w:t>
            </w:r>
            <w:r>
              <w:rPr>
                <w:rFonts w:ascii="仿宋" w:hAnsi="仿宋" w:eastAsia="仿宋" w:cs="仿宋"/>
                <w:sz w:val="19"/>
                <w:szCs w:val="19"/>
              </w:rPr>
              <w:t>规范性</w:t>
            </w:r>
          </w:p>
        </w:tc>
        <w:tc>
          <w:tcPr>
            <w:tcW w:w="1163" w:type="dxa"/>
            <w:vAlign w:val="center"/>
          </w:tcPr>
          <w:p w14:paraId="5FD1CCDD">
            <w:pPr>
              <w:spacing w:before="62" w:line="230" w:lineRule="auto"/>
              <w:jc w:val="center"/>
              <w:rPr>
                <w:rFonts w:ascii="仿宋" w:hAnsi="仿宋" w:eastAsia="仿宋" w:cs="仿宋"/>
                <w:sz w:val="19"/>
                <w:szCs w:val="19"/>
              </w:rPr>
            </w:pPr>
            <w:r>
              <w:rPr>
                <w:rFonts w:ascii="仿宋" w:hAnsi="仿宋" w:eastAsia="仿宋" w:cs="仿宋"/>
                <w:spacing w:val="4"/>
                <w:sz w:val="19"/>
                <w:szCs w:val="19"/>
              </w:rPr>
              <w:t>规范</w:t>
            </w:r>
          </w:p>
        </w:tc>
        <w:tc>
          <w:tcPr>
            <w:tcW w:w="2563" w:type="dxa"/>
          </w:tcPr>
          <w:p w14:paraId="197C0057">
            <w:pPr>
              <w:spacing w:before="59" w:line="277" w:lineRule="auto"/>
              <w:ind w:left="119" w:right="105"/>
              <w:rPr>
                <w:rFonts w:ascii="仿宋" w:hAnsi="仿宋" w:eastAsia="仿宋" w:cs="仿宋"/>
                <w:sz w:val="19"/>
                <w:szCs w:val="19"/>
              </w:rPr>
            </w:pPr>
            <w:r>
              <w:rPr>
                <w:rFonts w:hint="eastAsia" w:ascii="仿宋" w:hAnsi="仿宋" w:eastAsia="仿宋" w:cs="仿宋"/>
                <w:sz w:val="19"/>
                <w:szCs w:val="19"/>
              </w:rPr>
              <w:t>考察部门资产管理是否按 制度执行，是否按规定对资产进行配置、处置等，是否按照要求开展资产清查。</w:t>
            </w:r>
          </w:p>
        </w:tc>
        <w:tc>
          <w:tcPr>
            <w:tcW w:w="3808" w:type="dxa"/>
          </w:tcPr>
          <w:p w14:paraId="1C21057C">
            <w:pPr>
              <w:spacing w:before="57" w:line="278" w:lineRule="auto"/>
              <w:ind w:left="119" w:right="101" w:firstLine="1"/>
              <w:rPr>
                <w:rFonts w:ascii="仿宋" w:hAnsi="仿宋" w:eastAsia="仿宋" w:cs="仿宋"/>
                <w:sz w:val="19"/>
                <w:szCs w:val="19"/>
              </w:rPr>
            </w:pPr>
            <w:r>
              <w:rPr>
                <w:rFonts w:hint="eastAsia" w:ascii="仿宋" w:hAnsi="仿宋" w:eastAsia="仿宋" w:cs="仿宋"/>
                <w:sz w:val="19"/>
                <w:szCs w:val="19"/>
              </w:rPr>
              <w:t>部门按照资产管理制度执行资产管理得权重分， 否则每发现不符合规范处扣 20% 权重分， 扣完为止。</w:t>
            </w:r>
          </w:p>
        </w:tc>
        <w:tc>
          <w:tcPr>
            <w:tcW w:w="801" w:type="dxa"/>
            <w:vAlign w:val="center"/>
          </w:tcPr>
          <w:p w14:paraId="698D393E">
            <w:pPr>
              <w:spacing w:before="62" w:line="184" w:lineRule="auto"/>
              <w:jc w:val="center"/>
              <w:rPr>
                <w:rFonts w:ascii="仿宋" w:hAnsi="仿宋" w:eastAsia="仿宋" w:cs="仿宋"/>
                <w:sz w:val="19"/>
                <w:szCs w:val="19"/>
              </w:rPr>
            </w:pPr>
            <w:r>
              <w:rPr>
                <w:rFonts w:ascii="仿宋" w:hAnsi="仿宋" w:eastAsia="仿宋" w:cs="仿宋"/>
                <w:sz w:val="19"/>
                <w:szCs w:val="19"/>
              </w:rPr>
              <w:t>2</w:t>
            </w:r>
          </w:p>
        </w:tc>
        <w:tc>
          <w:tcPr>
            <w:tcW w:w="809" w:type="dxa"/>
            <w:vAlign w:val="center"/>
          </w:tcPr>
          <w:p w14:paraId="78D303A1">
            <w:pPr>
              <w:spacing w:before="62" w:line="185" w:lineRule="auto"/>
              <w:jc w:val="center"/>
              <w:rPr>
                <w:rFonts w:ascii="仿宋" w:hAnsi="仿宋" w:eastAsia="仿宋" w:cs="仿宋"/>
                <w:sz w:val="19"/>
                <w:szCs w:val="19"/>
              </w:rPr>
            </w:pPr>
            <w:r>
              <w:rPr>
                <w:rFonts w:hint="eastAsia" w:ascii="仿宋" w:hAnsi="仿宋" w:eastAsia="仿宋" w:cs="仿宋"/>
                <w:spacing w:val="-2"/>
                <w:sz w:val="19"/>
                <w:szCs w:val="19"/>
              </w:rPr>
              <w:t>1.6</w:t>
            </w:r>
          </w:p>
        </w:tc>
      </w:tr>
      <w:tr w14:paraId="763B10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1713" w:type="dxa"/>
            <w:vMerge w:val="continue"/>
          </w:tcPr>
          <w:p w14:paraId="33E0F78E">
            <w:pPr>
              <w:rPr>
                <w:rFonts w:ascii="Arial"/>
              </w:rPr>
            </w:pPr>
          </w:p>
        </w:tc>
        <w:tc>
          <w:tcPr>
            <w:tcW w:w="1526" w:type="dxa"/>
            <w:vMerge w:val="continue"/>
          </w:tcPr>
          <w:p w14:paraId="3F0191BB">
            <w:pPr>
              <w:rPr>
                <w:rFonts w:ascii="Arial"/>
              </w:rPr>
            </w:pPr>
          </w:p>
        </w:tc>
        <w:tc>
          <w:tcPr>
            <w:tcW w:w="1572" w:type="dxa"/>
            <w:vAlign w:val="center"/>
          </w:tcPr>
          <w:p w14:paraId="0B860237">
            <w:pPr>
              <w:jc w:val="center"/>
              <w:rPr>
                <w:rFonts w:ascii="Arial" w:eastAsia="仿宋"/>
              </w:rPr>
            </w:pPr>
            <w:r>
              <w:rPr>
                <w:rFonts w:ascii="仿宋" w:hAnsi="仿宋" w:eastAsia="仿宋" w:cs="仿宋"/>
                <w:sz w:val="19"/>
                <w:szCs w:val="19"/>
              </w:rPr>
              <w:t>B32</w:t>
            </w:r>
            <w:r>
              <w:rPr>
                <w:rFonts w:hint="eastAsia" w:ascii="仿宋" w:hAnsi="仿宋" w:eastAsia="仿宋" w:cs="仿宋"/>
                <w:sz w:val="19"/>
                <w:szCs w:val="19"/>
              </w:rPr>
              <w:t xml:space="preserve"> 固定资产</w:t>
            </w:r>
            <w:r>
              <w:rPr>
                <w:rFonts w:hint="eastAsia" w:ascii="仿宋" w:hAnsi="仿宋" w:eastAsia="仿宋" w:cs="仿宋"/>
                <w:sz w:val="19"/>
                <w:szCs w:val="19"/>
              </w:rPr>
              <w:br w:type="textWrapping"/>
            </w:r>
            <w:r>
              <w:rPr>
                <w:rFonts w:hint="eastAsia" w:ascii="仿宋" w:hAnsi="仿宋" w:eastAsia="仿宋" w:cs="仿宋"/>
                <w:sz w:val="19"/>
                <w:szCs w:val="19"/>
              </w:rPr>
              <w:t>利用率</w:t>
            </w:r>
          </w:p>
        </w:tc>
        <w:tc>
          <w:tcPr>
            <w:tcW w:w="1163" w:type="dxa"/>
            <w:vAlign w:val="center"/>
          </w:tcPr>
          <w:p w14:paraId="2608D30A">
            <w:pPr>
              <w:jc w:val="center"/>
              <w:rPr>
                <w:rFonts w:ascii="Arial"/>
              </w:rPr>
            </w:pPr>
            <w:r>
              <w:rPr>
                <w:rFonts w:hint="eastAsia" w:ascii="仿宋" w:hAnsi="仿宋" w:eastAsia="仿宋" w:cs="仿宋"/>
                <w:spacing w:val="4"/>
                <w:sz w:val="19"/>
                <w:szCs w:val="19"/>
              </w:rPr>
              <w:t>100%</w:t>
            </w:r>
          </w:p>
        </w:tc>
        <w:tc>
          <w:tcPr>
            <w:tcW w:w="2563" w:type="dxa"/>
          </w:tcPr>
          <w:p w14:paraId="74EF8A82">
            <w:pPr>
              <w:ind w:firstLine="190" w:firstLineChars="100"/>
              <w:rPr>
                <w:rFonts w:ascii="Arial"/>
              </w:rPr>
            </w:pPr>
            <w:r>
              <w:rPr>
                <w:rFonts w:hint="eastAsia" w:ascii="仿宋" w:hAnsi="仿宋" w:eastAsia="仿宋" w:cs="仿宋"/>
                <w:sz w:val="19"/>
                <w:szCs w:val="19"/>
              </w:rPr>
              <w:t>考察部门资产是否充分利用，闲置资产是否及时报废。</w:t>
            </w:r>
          </w:p>
        </w:tc>
        <w:tc>
          <w:tcPr>
            <w:tcW w:w="3808" w:type="dxa"/>
          </w:tcPr>
          <w:p w14:paraId="083319A7">
            <w:pPr>
              <w:spacing w:before="54" w:line="227" w:lineRule="auto"/>
              <w:ind w:left="126"/>
              <w:rPr>
                <w:rFonts w:ascii="仿宋" w:hAnsi="仿宋" w:eastAsia="仿宋" w:cs="仿宋"/>
                <w:spacing w:val="5"/>
                <w:sz w:val="19"/>
                <w:szCs w:val="19"/>
              </w:rPr>
            </w:pPr>
            <w:r>
              <w:rPr>
                <w:rFonts w:hint="eastAsia" w:ascii="仿宋" w:hAnsi="仿宋" w:eastAsia="仿宋" w:cs="仿宋"/>
                <w:spacing w:val="7"/>
                <w:sz w:val="19"/>
                <w:szCs w:val="19"/>
              </w:rPr>
              <w:t>固定资产利用率= (使用中固定资产原值/固定资产原值) ×100%。达到目标值为满分</w:t>
            </w:r>
            <w:r>
              <w:rPr>
                <w:rFonts w:ascii="仿宋" w:hAnsi="仿宋" w:eastAsia="仿宋" w:cs="仿宋"/>
                <w:spacing w:val="7"/>
                <w:sz w:val="19"/>
                <w:szCs w:val="19"/>
              </w:rPr>
              <w:t>，否则按比例计算得分。</w:t>
            </w:r>
          </w:p>
        </w:tc>
        <w:tc>
          <w:tcPr>
            <w:tcW w:w="801" w:type="dxa"/>
            <w:vAlign w:val="center"/>
          </w:tcPr>
          <w:p w14:paraId="17F6D73E">
            <w:pPr>
              <w:spacing w:before="62" w:line="184" w:lineRule="auto"/>
              <w:jc w:val="center"/>
              <w:rPr>
                <w:rFonts w:ascii="仿宋" w:hAnsi="仿宋" w:eastAsia="仿宋" w:cs="仿宋"/>
                <w:sz w:val="19"/>
                <w:szCs w:val="19"/>
              </w:rPr>
            </w:pPr>
            <w:r>
              <w:rPr>
                <w:rFonts w:ascii="仿宋" w:hAnsi="仿宋" w:eastAsia="仿宋" w:cs="仿宋"/>
                <w:sz w:val="19"/>
                <w:szCs w:val="19"/>
              </w:rPr>
              <w:t>2</w:t>
            </w:r>
          </w:p>
        </w:tc>
        <w:tc>
          <w:tcPr>
            <w:tcW w:w="809" w:type="dxa"/>
            <w:vAlign w:val="center"/>
          </w:tcPr>
          <w:p w14:paraId="1C28F11C">
            <w:pPr>
              <w:spacing w:before="62" w:line="185" w:lineRule="auto"/>
              <w:jc w:val="center"/>
              <w:rPr>
                <w:rFonts w:ascii="仿宋" w:hAnsi="仿宋" w:eastAsia="仿宋" w:cs="仿宋"/>
                <w:sz w:val="19"/>
                <w:szCs w:val="19"/>
              </w:rPr>
            </w:pPr>
            <w:r>
              <w:rPr>
                <w:rFonts w:hint="eastAsia" w:ascii="仿宋" w:hAnsi="仿宋" w:eastAsia="仿宋" w:cs="仿宋"/>
                <w:spacing w:val="-2"/>
                <w:sz w:val="19"/>
                <w:szCs w:val="19"/>
              </w:rPr>
              <w:t>1.5</w:t>
            </w:r>
          </w:p>
        </w:tc>
      </w:tr>
      <w:tr w14:paraId="6FD616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1713" w:type="dxa"/>
            <w:vMerge w:val="continue"/>
          </w:tcPr>
          <w:p w14:paraId="3E2350A7">
            <w:pPr>
              <w:rPr>
                <w:rFonts w:ascii="Arial"/>
              </w:rPr>
            </w:pPr>
          </w:p>
        </w:tc>
        <w:tc>
          <w:tcPr>
            <w:tcW w:w="1526" w:type="dxa"/>
            <w:vMerge w:val="continue"/>
            <w:tcBorders>
              <w:top w:val="nil"/>
            </w:tcBorders>
          </w:tcPr>
          <w:p w14:paraId="7BEA0B46">
            <w:pPr>
              <w:rPr>
                <w:rFonts w:ascii="Arial"/>
              </w:rPr>
            </w:pPr>
          </w:p>
        </w:tc>
        <w:tc>
          <w:tcPr>
            <w:tcW w:w="1572" w:type="dxa"/>
            <w:vAlign w:val="center"/>
          </w:tcPr>
          <w:p w14:paraId="40FB94F2">
            <w:pPr>
              <w:spacing w:before="58" w:line="277" w:lineRule="auto"/>
              <w:ind w:left="117" w:right="104" w:hanging="11"/>
              <w:jc w:val="center"/>
              <w:rPr>
                <w:rFonts w:ascii="仿宋" w:hAnsi="仿宋" w:eastAsia="仿宋" w:cs="仿宋"/>
                <w:sz w:val="19"/>
                <w:szCs w:val="19"/>
              </w:rPr>
            </w:pPr>
            <w:r>
              <w:rPr>
                <w:rFonts w:ascii="仿宋" w:hAnsi="仿宋" w:eastAsia="仿宋" w:cs="仿宋"/>
                <w:sz w:val="19"/>
                <w:szCs w:val="19"/>
              </w:rPr>
              <w:t>B</w:t>
            </w:r>
            <w:r>
              <w:rPr>
                <w:rFonts w:ascii="仿宋" w:hAnsi="仿宋" w:eastAsia="仿宋" w:cs="仿宋"/>
                <w:spacing w:val="7"/>
                <w:sz w:val="19"/>
                <w:szCs w:val="19"/>
              </w:rPr>
              <w:t>3</w:t>
            </w:r>
            <w:r>
              <w:rPr>
                <w:rFonts w:hint="eastAsia" w:ascii="仿宋" w:hAnsi="仿宋" w:eastAsia="仿宋" w:cs="仿宋"/>
                <w:spacing w:val="7"/>
                <w:sz w:val="19"/>
                <w:szCs w:val="19"/>
              </w:rPr>
              <w:t>3</w:t>
            </w:r>
            <w:r>
              <w:rPr>
                <w:rFonts w:ascii="仿宋" w:hAnsi="仿宋" w:eastAsia="仿宋" w:cs="仿宋"/>
                <w:spacing w:val="7"/>
                <w:sz w:val="19"/>
                <w:szCs w:val="19"/>
              </w:rPr>
              <w:t xml:space="preserve"> 资产管理</w:t>
            </w:r>
            <w:r>
              <w:rPr>
                <w:rFonts w:ascii="仿宋" w:hAnsi="仿宋" w:eastAsia="仿宋" w:cs="仿宋"/>
                <w:spacing w:val="23"/>
                <w:sz w:val="19"/>
                <w:szCs w:val="19"/>
              </w:rPr>
              <w:t>制度</w:t>
            </w:r>
            <w:r>
              <w:rPr>
                <w:rFonts w:hint="eastAsia" w:ascii="仿宋" w:hAnsi="仿宋" w:eastAsia="仿宋" w:cs="仿宋"/>
                <w:spacing w:val="23"/>
                <w:sz w:val="19"/>
                <w:szCs w:val="19"/>
              </w:rPr>
              <w:t>健全性</w:t>
            </w:r>
          </w:p>
        </w:tc>
        <w:tc>
          <w:tcPr>
            <w:tcW w:w="1163" w:type="dxa"/>
            <w:vAlign w:val="center"/>
          </w:tcPr>
          <w:p w14:paraId="74B5C6E8">
            <w:pPr>
              <w:spacing w:before="62" w:line="230" w:lineRule="auto"/>
              <w:jc w:val="center"/>
              <w:rPr>
                <w:rFonts w:ascii="仿宋" w:hAnsi="仿宋" w:eastAsia="仿宋" w:cs="仿宋"/>
                <w:sz w:val="19"/>
                <w:szCs w:val="19"/>
              </w:rPr>
            </w:pPr>
            <w:r>
              <w:rPr>
                <w:rFonts w:hint="eastAsia" w:ascii="仿宋" w:hAnsi="仿宋" w:eastAsia="仿宋" w:cs="仿宋"/>
                <w:spacing w:val="4"/>
                <w:sz w:val="19"/>
                <w:szCs w:val="19"/>
              </w:rPr>
              <w:t>健全</w:t>
            </w:r>
          </w:p>
        </w:tc>
        <w:tc>
          <w:tcPr>
            <w:tcW w:w="2563" w:type="dxa"/>
          </w:tcPr>
          <w:p w14:paraId="12B287A5">
            <w:pPr>
              <w:spacing w:before="59" w:line="277" w:lineRule="auto"/>
              <w:ind w:left="119" w:right="105"/>
              <w:rPr>
                <w:rFonts w:ascii="仿宋" w:hAnsi="仿宋" w:eastAsia="仿宋" w:cs="仿宋"/>
                <w:sz w:val="19"/>
                <w:szCs w:val="19"/>
              </w:rPr>
            </w:pPr>
            <w:r>
              <w:rPr>
                <w:rFonts w:hint="eastAsia" w:ascii="仿宋" w:hAnsi="仿宋" w:eastAsia="仿宋" w:cs="仿宋"/>
                <w:sz w:val="19"/>
                <w:szCs w:val="19"/>
              </w:rPr>
              <w:t>考察部门资产管理制度是否健全，如：是否建立健全资产管理岗位责任制、是否建立资产采购、处置等流程。</w:t>
            </w:r>
          </w:p>
        </w:tc>
        <w:tc>
          <w:tcPr>
            <w:tcW w:w="3808" w:type="dxa"/>
          </w:tcPr>
          <w:p w14:paraId="600FFC40">
            <w:pPr>
              <w:spacing w:before="57" w:line="278" w:lineRule="auto"/>
              <w:ind w:left="119" w:right="101" w:firstLine="1"/>
              <w:rPr>
                <w:rFonts w:ascii="仿宋" w:hAnsi="仿宋" w:eastAsia="仿宋" w:cs="仿宋"/>
                <w:sz w:val="19"/>
                <w:szCs w:val="19"/>
              </w:rPr>
            </w:pPr>
            <w:r>
              <w:rPr>
                <w:rFonts w:hint="eastAsia" w:ascii="仿宋" w:hAnsi="仿宋" w:eastAsia="仿宋" w:cs="仿宋"/>
                <w:sz w:val="19"/>
                <w:szCs w:val="19"/>
              </w:rPr>
              <w:t>1.资产管理制度制定是否健全完善。</w:t>
            </w:r>
          </w:p>
          <w:p w14:paraId="6DF77159">
            <w:pPr>
              <w:spacing w:before="57" w:line="278" w:lineRule="auto"/>
              <w:ind w:left="119" w:right="101" w:firstLine="1"/>
              <w:rPr>
                <w:rFonts w:ascii="仿宋" w:hAnsi="仿宋" w:eastAsia="仿宋" w:cs="仿宋"/>
                <w:sz w:val="19"/>
                <w:szCs w:val="19"/>
              </w:rPr>
            </w:pPr>
            <w:r>
              <w:rPr>
                <w:rFonts w:hint="eastAsia" w:ascii="仿宋" w:hAnsi="仿宋" w:eastAsia="仿宋" w:cs="仿宋"/>
                <w:sz w:val="19"/>
                <w:szCs w:val="19"/>
              </w:rPr>
              <w:t>2.资产管理相关流程是否完善。</w:t>
            </w:r>
          </w:p>
          <w:p w14:paraId="5FAB79FD">
            <w:pPr>
              <w:spacing w:before="57" w:line="278" w:lineRule="auto"/>
              <w:ind w:left="119" w:right="101" w:firstLine="1"/>
              <w:rPr>
                <w:rFonts w:ascii="仿宋" w:hAnsi="仿宋" w:eastAsia="仿宋" w:cs="仿宋"/>
                <w:sz w:val="19"/>
                <w:szCs w:val="19"/>
              </w:rPr>
            </w:pPr>
            <w:r>
              <w:rPr>
                <w:rFonts w:hint="eastAsia" w:ascii="仿宋" w:hAnsi="仿宋" w:eastAsia="仿宋" w:cs="仿宋"/>
                <w:sz w:val="19"/>
                <w:szCs w:val="19"/>
              </w:rPr>
              <w:t>以上 2 项各占 1/2 权重分， 符合得对应权重分，否则不得分。</w:t>
            </w:r>
          </w:p>
        </w:tc>
        <w:tc>
          <w:tcPr>
            <w:tcW w:w="801" w:type="dxa"/>
            <w:vAlign w:val="center"/>
          </w:tcPr>
          <w:p w14:paraId="6889D842">
            <w:pPr>
              <w:spacing w:before="62" w:line="184" w:lineRule="auto"/>
              <w:jc w:val="center"/>
              <w:rPr>
                <w:rFonts w:ascii="仿宋" w:hAnsi="仿宋" w:eastAsia="仿宋" w:cs="仿宋"/>
                <w:sz w:val="19"/>
                <w:szCs w:val="19"/>
              </w:rPr>
            </w:pPr>
            <w:r>
              <w:rPr>
                <w:rFonts w:ascii="仿宋" w:hAnsi="仿宋" w:eastAsia="仿宋" w:cs="仿宋"/>
                <w:sz w:val="19"/>
                <w:szCs w:val="19"/>
              </w:rPr>
              <w:t>2</w:t>
            </w:r>
          </w:p>
        </w:tc>
        <w:tc>
          <w:tcPr>
            <w:tcW w:w="809" w:type="dxa"/>
            <w:vAlign w:val="center"/>
          </w:tcPr>
          <w:p w14:paraId="146FF084">
            <w:pPr>
              <w:spacing w:before="62" w:line="185" w:lineRule="auto"/>
              <w:jc w:val="center"/>
              <w:rPr>
                <w:rFonts w:ascii="仿宋" w:hAnsi="仿宋" w:eastAsia="仿宋" w:cs="仿宋"/>
                <w:sz w:val="19"/>
                <w:szCs w:val="19"/>
              </w:rPr>
            </w:pPr>
            <w:r>
              <w:rPr>
                <w:rFonts w:hint="eastAsia" w:ascii="仿宋" w:hAnsi="仿宋" w:eastAsia="仿宋" w:cs="仿宋"/>
                <w:spacing w:val="-2"/>
                <w:sz w:val="19"/>
                <w:szCs w:val="19"/>
              </w:rPr>
              <w:t>1</w:t>
            </w:r>
          </w:p>
        </w:tc>
      </w:tr>
      <w:tr w14:paraId="284991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1713" w:type="dxa"/>
            <w:vMerge w:val="continue"/>
          </w:tcPr>
          <w:p w14:paraId="6EF714F7">
            <w:pPr>
              <w:rPr>
                <w:rFonts w:ascii="Arial"/>
              </w:rPr>
            </w:pPr>
          </w:p>
        </w:tc>
        <w:tc>
          <w:tcPr>
            <w:tcW w:w="1526" w:type="dxa"/>
            <w:vMerge w:val="restart"/>
            <w:tcBorders>
              <w:bottom w:val="nil"/>
            </w:tcBorders>
          </w:tcPr>
          <w:p w14:paraId="1BB7FB7B">
            <w:pPr>
              <w:spacing w:line="271" w:lineRule="auto"/>
              <w:rPr>
                <w:rFonts w:ascii="Arial"/>
              </w:rPr>
            </w:pPr>
          </w:p>
          <w:p w14:paraId="19A23250">
            <w:pPr>
              <w:spacing w:line="271" w:lineRule="auto"/>
              <w:rPr>
                <w:rFonts w:ascii="Arial"/>
              </w:rPr>
            </w:pPr>
          </w:p>
          <w:p w14:paraId="3D4C5018">
            <w:pPr>
              <w:spacing w:line="271" w:lineRule="auto"/>
              <w:rPr>
                <w:rFonts w:ascii="Arial"/>
              </w:rPr>
            </w:pPr>
          </w:p>
          <w:p w14:paraId="42ED36B0">
            <w:pPr>
              <w:spacing w:line="271" w:lineRule="auto"/>
              <w:rPr>
                <w:rFonts w:ascii="Arial"/>
              </w:rPr>
            </w:pPr>
          </w:p>
          <w:p w14:paraId="51A54453">
            <w:pPr>
              <w:spacing w:before="62" w:line="303" w:lineRule="auto"/>
              <w:ind w:right="107"/>
              <w:jc w:val="center"/>
              <w:rPr>
                <w:rFonts w:ascii="仿宋" w:hAnsi="仿宋" w:eastAsia="仿宋" w:cs="仿宋"/>
                <w:sz w:val="19"/>
                <w:szCs w:val="19"/>
              </w:rPr>
            </w:pPr>
            <w:r>
              <w:rPr>
                <w:rFonts w:ascii="仿宋" w:hAnsi="仿宋" w:eastAsia="仿宋" w:cs="仿宋"/>
                <w:sz w:val="19"/>
                <w:szCs w:val="19"/>
              </w:rPr>
              <w:t>B</w:t>
            </w:r>
            <w:r>
              <w:rPr>
                <w:rFonts w:ascii="仿宋" w:hAnsi="仿宋" w:eastAsia="仿宋" w:cs="仿宋"/>
                <w:spacing w:val="12"/>
                <w:sz w:val="19"/>
                <w:szCs w:val="19"/>
              </w:rPr>
              <w:t>4</w:t>
            </w:r>
            <w:r>
              <w:rPr>
                <w:rFonts w:hint="eastAsia" w:ascii="仿宋" w:hAnsi="仿宋" w:eastAsia="仿宋" w:cs="仿宋"/>
                <w:spacing w:val="10"/>
                <w:sz w:val="19"/>
                <w:szCs w:val="19"/>
              </w:rPr>
              <w:t>项目管理</w:t>
            </w:r>
          </w:p>
          <w:p w14:paraId="7C43E142">
            <w:pPr>
              <w:spacing w:line="228" w:lineRule="auto"/>
              <w:jc w:val="center"/>
              <w:rPr>
                <w:rFonts w:ascii="仿宋" w:hAnsi="仿宋" w:eastAsia="仿宋" w:cs="仿宋"/>
                <w:sz w:val="19"/>
                <w:szCs w:val="19"/>
              </w:rPr>
            </w:pPr>
            <w:r>
              <w:rPr>
                <w:rFonts w:ascii="仿宋" w:hAnsi="仿宋" w:eastAsia="仿宋" w:cs="仿宋"/>
                <w:spacing w:val="11"/>
                <w:sz w:val="19"/>
                <w:szCs w:val="19"/>
              </w:rPr>
              <w:t>(</w:t>
            </w:r>
            <w:r>
              <w:rPr>
                <w:rFonts w:hint="eastAsia" w:ascii="仿宋" w:hAnsi="仿宋" w:eastAsia="仿宋" w:cs="仿宋"/>
                <w:spacing w:val="11"/>
                <w:sz w:val="19"/>
                <w:szCs w:val="19"/>
              </w:rPr>
              <w:t>4</w:t>
            </w:r>
            <w:r>
              <w:rPr>
                <w:rFonts w:ascii="仿宋" w:hAnsi="仿宋" w:eastAsia="仿宋" w:cs="仿宋"/>
                <w:spacing w:val="11"/>
                <w:sz w:val="19"/>
                <w:szCs w:val="19"/>
              </w:rPr>
              <w:t xml:space="preserve"> 分</w:t>
            </w:r>
            <w:r>
              <w:rPr>
                <w:rFonts w:ascii="仿宋" w:hAnsi="仿宋" w:eastAsia="仿宋" w:cs="仿宋"/>
                <w:spacing w:val="10"/>
                <w:sz w:val="19"/>
                <w:szCs w:val="19"/>
              </w:rPr>
              <w:t>)</w:t>
            </w:r>
          </w:p>
        </w:tc>
        <w:tc>
          <w:tcPr>
            <w:tcW w:w="1572" w:type="dxa"/>
            <w:vAlign w:val="center"/>
          </w:tcPr>
          <w:p w14:paraId="774639B1">
            <w:pPr>
              <w:spacing w:before="61" w:line="310" w:lineRule="auto"/>
              <w:ind w:right="104"/>
              <w:rPr>
                <w:rFonts w:ascii="仿宋" w:hAnsi="仿宋" w:eastAsia="仿宋" w:cs="仿宋"/>
                <w:sz w:val="19"/>
                <w:szCs w:val="19"/>
              </w:rPr>
            </w:pPr>
            <w:r>
              <w:rPr>
                <w:rFonts w:ascii="仿宋" w:hAnsi="仿宋" w:eastAsia="仿宋" w:cs="仿宋"/>
                <w:sz w:val="19"/>
                <w:szCs w:val="19"/>
              </w:rPr>
              <w:t>B</w:t>
            </w:r>
            <w:r>
              <w:rPr>
                <w:rFonts w:ascii="仿宋" w:hAnsi="仿宋" w:eastAsia="仿宋" w:cs="仿宋"/>
                <w:spacing w:val="7"/>
                <w:sz w:val="19"/>
                <w:szCs w:val="19"/>
              </w:rPr>
              <w:t xml:space="preserve">41 </w:t>
            </w:r>
            <w:r>
              <w:rPr>
                <w:rFonts w:hint="eastAsia" w:ascii="仿宋" w:hAnsi="仿宋" w:eastAsia="仿宋" w:cs="仿宋"/>
                <w:spacing w:val="7"/>
                <w:sz w:val="19"/>
                <w:szCs w:val="19"/>
              </w:rPr>
              <w:t>项目管理制度执行规范性</w:t>
            </w:r>
          </w:p>
        </w:tc>
        <w:tc>
          <w:tcPr>
            <w:tcW w:w="1163" w:type="dxa"/>
            <w:vAlign w:val="center"/>
          </w:tcPr>
          <w:p w14:paraId="07148849">
            <w:pPr>
              <w:spacing w:before="61" w:line="228" w:lineRule="auto"/>
              <w:jc w:val="center"/>
              <w:rPr>
                <w:rFonts w:ascii="仿宋" w:hAnsi="仿宋" w:eastAsia="仿宋" w:cs="仿宋"/>
                <w:sz w:val="19"/>
                <w:szCs w:val="19"/>
              </w:rPr>
            </w:pPr>
            <w:r>
              <w:rPr>
                <w:rFonts w:hint="eastAsia" w:ascii="仿宋" w:hAnsi="仿宋" w:eastAsia="仿宋" w:cs="仿宋"/>
                <w:spacing w:val="4"/>
                <w:sz w:val="19"/>
                <w:szCs w:val="19"/>
              </w:rPr>
              <w:t>规范</w:t>
            </w:r>
          </w:p>
        </w:tc>
        <w:tc>
          <w:tcPr>
            <w:tcW w:w="2563" w:type="dxa"/>
            <w:vAlign w:val="center"/>
          </w:tcPr>
          <w:p w14:paraId="51827830">
            <w:pPr>
              <w:spacing w:before="58" w:line="287" w:lineRule="auto"/>
              <w:ind w:left="119" w:right="105"/>
              <w:rPr>
                <w:rFonts w:ascii="仿宋" w:hAnsi="仿宋" w:eastAsia="仿宋" w:cs="仿宋"/>
                <w:sz w:val="19"/>
                <w:szCs w:val="19"/>
              </w:rPr>
            </w:pPr>
            <w:r>
              <w:rPr>
                <w:rFonts w:hint="eastAsia" w:ascii="仿宋" w:hAnsi="仿宋" w:eastAsia="仿宋" w:cs="仿宋"/>
                <w:sz w:val="19"/>
                <w:szCs w:val="19"/>
              </w:rPr>
              <w:t>考察部门的项目管理是否有相应的制度保障， 流程设计是否规范；执行是否有效。</w:t>
            </w:r>
          </w:p>
        </w:tc>
        <w:tc>
          <w:tcPr>
            <w:tcW w:w="3808" w:type="dxa"/>
            <w:vAlign w:val="center"/>
          </w:tcPr>
          <w:p w14:paraId="37078498">
            <w:pPr>
              <w:spacing w:before="210" w:line="309" w:lineRule="auto"/>
              <w:ind w:left="189" w:leftChars="90" w:right="103"/>
              <w:rPr>
                <w:rFonts w:ascii="仿宋" w:hAnsi="仿宋" w:eastAsia="仿宋" w:cs="仿宋"/>
                <w:spacing w:val="1"/>
                <w:sz w:val="19"/>
                <w:szCs w:val="19"/>
              </w:rPr>
            </w:pPr>
            <w:r>
              <w:rPr>
                <w:rFonts w:hint="eastAsia" w:ascii="仿宋" w:hAnsi="仿宋" w:eastAsia="仿宋" w:cs="仿宋"/>
                <w:spacing w:val="1"/>
                <w:sz w:val="19"/>
                <w:szCs w:val="19"/>
              </w:rPr>
              <w:t>1.项目管理</w:t>
            </w:r>
            <w:r>
              <w:rPr>
                <w:rFonts w:ascii="仿宋" w:hAnsi="仿宋" w:eastAsia="仿宋" w:cs="仿宋"/>
                <w:spacing w:val="1"/>
                <w:sz w:val="19"/>
                <w:szCs w:val="19"/>
              </w:rPr>
              <w:t>有相应的制度保障</w:t>
            </w:r>
            <w:r>
              <w:rPr>
                <w:rFonts w:ascii="仿宋" w:hAnsi="仿宋" w:eastAsia="仿宋" w:cs="仿宋"/>
                <w:sz w:val="19"/>
                <w:szCs w:val="19"/>
              </w:rPr>
              <w:t xml:space="preserve">；  </w:t>
            </w:r>
            <w:r>
              <w:rPr>
                <w:rFonts w:ascii="仿宋" w:hAnsi="仿宋" w:eastAsia="仿宋" w:cs="仿宋"/>
                <w:sz w:val="19"/>
                <w:szCs w:val="19"/>
              </w:rPr>
              <w:br w:type="textWrapping"/>
            </w:r>
            <w:r>
              <w:rPr>
                <w:rFonts w:hint="eastAsia" w:ascii="仿宋" w:hAnsi="仿宋" w:eastAsia="仿宋" w:cs="仿宋"/>
                <w:spacing w:val="1"/>
                <w:sz w:val="19"/>
                <w:szCs w:val="19"/>
              </w:rPr>
              <w:t>2</w:t>
            </w:r>
            <w:r>
              <w:rPr>
                <w:rFonts w:ascii="仿宋" w:hAnsi="仿宋" w:eastAsia="仿宋" w:cs="仿宋"/>
                <w:spacing w:val="1"/>
                <w:sz w:val="19"/>
                <w:szCs w:val="19"/>
              </w:rPr>
              <w:t>.</w:t>
            </w:r>
            <w:r>
              <w:rPr>
                <w:rFonts w:hint="eastAsia" w:ascii="仿宋" w:hAnsi="仿宋" w:eastAsia="仿宋" w:cs="仿宋"/>
                <w:spacing w:val="1"/>
                <w:sz w:val="19"/>
                <w:szCs w:val="19"/>
              </w:rPr>
              <w:t>项目管理</w:t>
            </w:r>
            <w:r>
              <w:rPr>
                <w:rFonts w:ascii="仿宋" w:hAnsi="仿宋" w:eastAsia="仿宋" w:cs="仿宋"/>
                <w:spacing w:val="1"/>
                <w:sz w:val="19"/>
                <w:szCs w:val="19"/>
              </w:rPr>
              <w:t>执行有效。</w:t>
            </w:r>
            <w:r>
              <w:rPr>
                <w:rFonts w:ascii="仿宋" w:hAnsi="仿宋" w:eastAsia="仿宋" w:cs="仿宋"/>
                <w:spacing w:val="1"/>
                <w:sz w:val="19"/>
                <w:szCs w:val="19"/>
              </w:rPr>
              <w:br w:type="textWrapping"/>
            </w:r>
            <w:r>
              <w:rPr>
                <w:rFonts w:hint="eastAsia" w:ascii="仿宋" w:hAnsi="仿宋" w:eastAsia="仿宋" w:cs="仿宋"/>
                <w:spacing w:val="1"/>
                <w:sz w:val="19"/>
                <w:szCs w:val="19"/>
              </w:rPr>
              <w:t>以上 2 项各占 1/2 权重分， 符合得对应权重分，否则不得分。</w:t>
            </w:r>
          </w:p>
        </w:tc>
        <w:tc>
          <w:tcPr>
            <w:tcW w:w="801" w:type="dxa"/>
            <w:vAlign w:val="center"/>
          </w:tcPr>
          <w:p w14:paraId="53F89BC7">
            <w:pPr>
              <w:spacing w:before="61" w:line="185" w:lineRule="auto"/>
              <w:jc w:val="center"/>
              <w:rPr>
                <w:rFonts w:ascii="仿宋" w:hAnsi="仿宋" w:eastAsia="仿宋" w:cs="仿宋"/>
                <w:sz w:val="19"/>
                <w:szCs w:val="19"/>
              </w:rPr>
            </w:pPr>
            <w:r>
              <w:rPr>
                <w:rFonts w:hint="eastAsia" w:ascii="仿宋" w:hAnsi="仿宋" w:eastAsia="仿宋" w:cs="仿宋"/>
                <w:sz w:val="19"/>
                <w:szCs w:val="19"/>
              </w:rPr>
              <w:t>2</w:t>
            </w:r>
          </w:p>
        </w:tc>
        <w:tc>
          <w:tcPr>
            <w:tcW w:w="809" w:type="dxa"/>
            <w:vAlign w:val="center"/>
          </w:tcPr>
          <w:p w14:paraId="661C0450">
            <w:pPr>
              <w:spacing w:before="61" w:line="184" w:lineRule="auto"/>
              <w:jc w:val="center"/>
              <w:rPr>
                <w:rFonts w:ascii="仿宋" w:hAnsi="仿宋" w:eastAsia="仿宋" w:cs="仿宋"/>
                <w:sz w:val="19"/>
                <w:szCs w:val="19"/>
              </w:rPr>
            </w:pPr>
            <w:r>
              <w:rPr>
                <w:rFonts w:hint="eastAsia" w:ascii="仿宋" w:hAnsi="仿宋" w:eastAsia="仿宋" w:cs="仿宋"/>
                <w:spacing w:val="3"/>
                <w:sz w:val="19"/>
                <w:szCs w:val="19"/>
              </w:rPr>
              <w:t>1.5</w:t>
            </w:r>
          </w:p>
        </w:tc>
      </w:tr>
      <w:tr w14:paraId="3C4983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1" w:hRule="atLeast"/>
        </w:trPr>
        <w:tc>
          <w:tcPr>
            <w:tcW w:w="1713" w:type="dxa"/>
            <w:vMerge w:val="continue"/>
          </w:tcPr>
          <w:p w14:paraId="6B21E01C">
            <w:pPr>
              <w:rPr>
                <w:rFonts w:ascii="Arial"/>
              </w:rPr>
            </w:pPr>
          </w:p>
        </w:tc>
        <w:tc>
          <w:tcPr>
            <w:tcW w:w="1526" w:type="dxa"/>
            <w:vMerge w:val="continue"/>
            <w:tcBorders>
              <w:top w:val="nil"/>
            </w:tcBorders>
          </w:tcPr>
          <w:p w14:paraId="47660F7A">
            <w:pPr>
              <w:rPr>
                <w:rFonts w:ascii="Arial"/>
              </w:rPr>
            </w:pPr>
          </w:p>
        </w:tc>
        <w:tc>
          <w:tcPr>
            <w:tcW w:w="1572" w:type="dxa"/>
            <w:vAlign w:val="center"/>
          </w:tcPr>
          <w:p w14:paraId="58949F38">
            <w:pPr>
              <w:spacing w:before="61" w:line="310" w:lineRule="auto"/>
              <w:ind w:right="104"/>
              <w:rPr>
                <w:rFonts w:ascii="仿宋" w:hAnsi="仿宋" w:eastAsia="仿宋" w:cs="仿宋"/>
                <w:sz w:val="19"/>
                <w:szCs w:val="19"/>
              </w:rPr>
            </w:pPr>
            <w:r>
              <w:rPr>
                <w:rFonts w:hint="eastAsia" w:ascii="仿宋" w:hAnsi="仿宋" w:eastAsia="仿宋" w:cs="仿宋"/>
                <w:spacing w:val="7"/>
                <w:sz w:val="19"/>
                <w:szCs w:val="19"/>
              </w:rPr>
              <w:t>B4</w:t>
            </w:r>
            <w:r>
              <w:rPr>
                <w:rFonts w:ascii="仿宋" w:hAnsi="仿宋" w:eastAsia="仿宋" w:cs="仿宋"/>
                <w:spacing w:val="7"/>
                <w:sz w:val="19"/>
                <w:szCs w:val="19"/>
              </w:rPr>
              <w:t xml:space="preserve">2 </w:t>
            </w:r>
            <w:r>
              <w:rPr>
                <w:rFonts w:hint="eastAsia" w:ascii="仿宋" w:hAnsi="仿宋" w:eastAsia="仿宋" w:cs="仿宋"/>
                <w:spacing w:val="7"/>
                <w:sz w:val="19"/>
                <w:szCs w:val="19"/>
              </w:rPr>
              <w:t>项目管理制度健全性</w:t>
            </w:r>
          </w:p>
        </w:tc>
        <w:tc>
          <w:tcPr>
            <w:tcW w:w="1163" w:type="dxa"/>
            <w:vAlign w:val="center"/>
          </w:tcPr>
          <w:p w14:paraId="111C43B4">
            <w:pPr>
              <w:spacing w:before="61" w:line="230" w:lineRule="auto"/>
              <w:jc w:val="center"/>
              <w:rPr>
                <w:rFonts w:ascii="仿宋" w:hAnsi="仿宋" w:eastAsia="仿宋" w:cs="仿宋"/>
                <w:sz w:val="19"/>
                <w:szCs w:val="19"/>
              </w:rPr>
            </w:pPr>
            <w:r>
              <w:rPr>
                <w:rFonts w:hint="eastAsia" w:ascii="仿宋" w:hAnsi="仿宋" w:eastAsia="仿宋" w:cs="仿宋"/>
                <w:sz w:val="19"/>
                <w:szCs w:val="19"/>
              </w:rPr>
              <w:t>健全</w:t>
            </w:r>
          </w:p>
        </w:tc>
        <w:tc>
          <w:tcPr>
            <w:tcW w:w="2563" w:type="dxa"/>
          </w:tcPr>
          <w:p w14:paraId="3F8AFF01">
            <w:pPr>
              <w:spacing w:before="58" w:line="288" w:lineRule="auto"/>
              <w:ind w:left="118" w:right="105" w:firstLine="1"/>
              <w:rPr>
                <w:rFonts w:ascii="仿宋" w:hAnsi="仿宋" w:eastAsia="仿宋" w:cs="仿宋"/>
                <w:sz w:val="19"/>
                <w:szCs w:val="19"/>
              </w:rPr>
            </w:pPr>
            <w:r>
              <w:rPr>
                <w:rFonts w:hint="eastAsia" w:ascii="仿宋" w:hAnsi="仿宋" w:eastAsia="仿宋" w:cs="仿宋"/>
                <w:sz w:val="19"/>
                <w:szCs w:val="19"/>
              </w:rPr>
              <w:t>考察项目管理制度是否健全。</w:t>
            </w:r>
          </w:p>
        </w:tc>
        <w:tc>
          <w:tcPr>
            <w:tcW w:w="3808" w:type="dxa"/>
          </w:tcPr>
          <w:p w14:paraId="0C55AACE">
            <w:pPr>
              <w:spacing w:before="61" w:line="311" w:lineRule="auto"/>
              <w:ind w:left="95" w:right="104"/>
              <w:rPr>
                <w:rFonts w:ascii="仿宋" w:hAnsi="仿宋" w:eastAsia="仿宋" w:cs="仿宋"/>
                <w:sz w:val="19"/>
                <w:szCs w:val="19"/>
              </w:rPr>
            </w:pPr>
            <w:r>
              <w:rPr>
                <w:rFonts w:hint="eastAsia" w:ascii="仿宋" w:hAnsi="仿宋" w:eastAsia="仿宋" w:cs="仿宋"/>
                <w:spacing w:val="2"/>
                <w:sz w:val="19"/>
                <w:szCs w:val="19"/>
              </w:rPr>
              <w:t>1.有明确的项目管理责任科室</w:t>
            </w:r>
            <w:r>
              <w:rPr>
                <w:rFonts w:ascii="仿宋" w:hAnsi="仿宋" w:eastAsia="仿宋" w:cs="仿宋"/>
                <w:spacing w:val="1"/>
                <w:sz w:val="19"/>
                <w:szCs w:val="19"/>
              </w:rPr>
              <w:t xml:space="preserve">得 </w:t>
            </w:r>
            <w:r>
              <w:rPr>
                <w:rFonts w:hint="eastAsia" w:ascii="仿宋" w:hAnsi="仿宋" w:eastAsia="仿宋" w:cs="仿宋"/>
                <w:spacing w:val="1"/>
                <w:sz w:val="19"/>
                <w:szCs w:val="19"/>
              </w:rPr>
              <w:t>1</w:t>
            </w:r>
            <w:r>
              <w:rPr>
                <w:rFonts w:ascii="仿宋" w:hAnsi="仿宋" w:eastAsia="仿宋" w:cs="仿宋"/>
                <w:spacing w:val="1"/>
                <w:sz w:val="19"/>
                <w:szCs w:val="19"/>
              </w:rPr>
              <w:t>分；</w:t>
            </w:r>
          </w:p>
          <w:p w14:paraId="0A251341">
            <w:pPr>
              <w:spacing w:before="61" w:line="311" w:lineRule="auto"/>
              <w:ind w:left="95" w:right="104"/>
              <w:rPr>
                <w:rFonts w:ascii="仿宋" w:hAnsi="仿宋" w:eastAsia="仿宋" w:cs="仿宋"/>
                <w:sz w:val="19"/>
                <w:szCs w:val="19"/>
              </w:rPr>
            </w:pPr>
            <w:r>
              <w:rPr>
                <w:rFonts w:hint="eastAsia" w:ascii="仿宋" w:hAnsi="仿宋" w:eastAsia="仿宋" w:cs="仿宋"/>
                <w:spacing w:val="1"/>
                <w:sz w:val="19"/>
                <w:szCs w:val="19"/>
              </w:rPr>
              <w:t>2.项目管理审批流程健全得1</w:t>
            </w:r>
            <w:r>
              <w:rPr>
                <w:rFonts w:ascii="仿宋" w:hAnsi="仿宋" w:eastAsia="仿宋" w:cs="仿宋"/>
                <w:spacing w:val="1"/>
                <w:sz w:val="19"/>
                <w:szCs w:val="19"/>
              </w:rPr>
              <w:t>分。</w:t>
            </w:r>
          </w:p>
        </w:tc>
        <w:tc>
          <w:tcPr>
            <w:tcW w:w="801" w:type="dxa"/>
            <w:vAlign w:val="center"/>
          </w:tcPr>
          <w:p w14:paraId="2F41853C">
            <w:pPr>
              <w:spacing w:before="61" w:line="184" w:lineRule="auto"/>
              <w:jc w:val="center"/>
              <w:rPr>
                <w:rFonts w:ascii="仿宋" w:hAnsi="仿宋" w:eastAsia="仿宋" w:cs="仿宋"/>
                <w:sz w:val="19"/>
                <w:szCs w:val="19"/>
              </w:rPr>
            </w:pPr>
            <w:r>
              <w:rPr>
                <w:rFonts w:ascii="仿宋" w:hAnsi="仿宋" w:eastAsia="仿宋" w:cs="仿宋"/>
                <w:sz w:val="19"/>
                <w:szCs w:val="19"/>
              </w:rPr>
              <w:t>2</w:t>
            </w:r>
          </w:p>
        </w:tc>
        <w:tc>
          <w:tcPr>
            <w:tcW w:w="809" w:type="dxa"/>
            <w:vAlign w:val="center"/>
          </w:tcPr>
          <w:p w14:paraId="61754465">
            <w:pPr>
              <w:spacing w:before="61" w:line="184" w:lineRule="auto"/>
              <w:jc w:val="center"/>
              <w:rPr>
                <w:rFonts w:ascii="仿宋" w:hAnsi="仿宋" w:eastAsia="仿宋" w:cs="仿宋"/>
                <w:sz w:val="19"/>
                <w:szCs w:val="19"/>
              </w:rPr>
            </w:pPr>
            <w:r>
              <w:rPr>
                <w:rFonts w:hint="eastAsia" w:ascii="仿宋" w:hAnsi="仿宋" w:eastAsia="仿宋" w:cs="仿宋"/>
                <w:sz w:val="19"/>
                <w:szCs w:val="19"/>
              </w:rPr>
              <w:t>1.5</w:t>
            </w:r>
          </w:p>
        </w:tc>
      </w:tr>
      <w:tr w14:paraId="5412AB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1" w:hRule="atLeast"/>
        </w:trPr>
        <w:tc>
          <w:tcPr>
            <w:tcW w:w="1713" w:type="dxa"/>
            <w:vMerge w:val="continue"/>
          </w:tcPr>
          <w:p w14:paraId="5A7CF27F">
            <w:pPr>
              <w:rPr>
                <w:rFonts w:ascii="Arial"/>
              </w:rPr>
            </w:pPr>
          </w:p>
        </w:tc>
        <w:tc>
          <w:tcPr>
            <w:tcW w:w="1526" w:type="dxa"/>
            <w:vMerge w:val="restart"/>
            <w:vAlign w:val="center"/>
          </w:tcPr>
          <w:p w14:paraId="1002E81D">
            <w:pPr>
              <w:spacing w:before="62" w:line="303" w:lineRule="auto"/>
              <w:ind w:right="107"/>
              <w:jc w:val="center"/>
              <w:rPr>
                <w:rFonts w:ascii="仿宋" w:hAnsi="仿宋" w:eastAsia="仿宋" w:cs="仿宋"/>
                <w:sz w:val="19"/>
                <w:szCs w:val="19"/>
              </w:rPr>
            </w:pPr>
            <w:r>
              <w:rPr>
                <w:rFonts w:ascii="仿宋" w:hAnsi="仿宋" w:eastAsia="仿宋" w:cs="仿宋"/>
                <w:sz w:val="19"/>
                <w:szCs w:val="19"/>
              </w:rPr>
              <w:t>B</w:t>
            </w:r>
            <w:r>
              <w:rPr>
                <w:rFonts w:hint="eastAsia" w:ascii="仿宋" w:hAnsi="仿宋" w:eastAsia="仿宋" w:cs="仿宋"/>
                <w:sz w:val="19"/>
                <w:szCs w:val="19"/>
              </w:rPr>
              <w:t>5 人员管理</w:t>
            </w:r>
          </w:p>
          <w:p w14:paraId="78C324CF">
            <w:pPr>
              <w:spacing w:line="228" w:lineRule="auto"/>
              <w:ind w:left="121"/>
              <w:jc w:val="center"/>
              <w:rPr>
                <w:rFonts w:ascii="仿宋" w:hAnsi="仿宋" w:eastAsia="仿宋" w:cs="仿宋"/>
                <w:sz w:val="19"/>
                <w:szCs w:val="19"/>
              </w:rPr>
            </w:pPr>
            <w:r>
              <w:rPr>
                <w:rFonts w:ascii="仿宋" w:hAnsi="仿宋" w:eastAsia="仿宋" w:cs="仿宋"/>
                <w:spacing w:val="11"/>
                <w:sz w:val="19"/>
                <w:szCs w:val="19"/>
              </w:rPr>
              <w:t>(</w:t>
            </w:r>
            <w:r>
              <w:rPr>
                <w:rFonts w:hint="eastAsia" w:ascii="仿宋" w:hAnsi="仿宋" w:eastAsia="仿宋" w:cs="仿宋"/>
                <w:spacing w:val="11"/>
                <w:sz w:val="19"/>
                <w:szCs w:val="19"/>
              </w:rPr>
              <w:t xml:space="preserve">6 </w:t>
            </w:r>
            <w:r>
              <w:rPr>
                <w:rFonts w:ascii="仿宋" w:hAnsi="仿宋" w:eastAsia="仿宋" w:cs="仿宋"/>
                <w:spacing w:val="11"/>
                <w:sz w:val="19"/>
                <w:szCs w:val="19"/>
              </w:rPr>
              <w:t>分</w:t>
            </w:r>
            <w:r>
              <w:rPr>
                <w:rFonts w:ascii="仿宋" w:hAnsi="仿宋" w:eastAsia="仿宋" w:cs="仿宋"/>
                <w:spacing w:val="10"/>
                <w:sz w:val="19"/>
                <w:szCs w:val="19"/>
              </w:rPr>
              <w:t>)</w:t>
            </w:r>
          </w:p>
        </w:tc>
        <w:tc>
          <w:tcPr>
            <w:tcW w:w="1572" w:type="dxa"/>
            <w:vAlign w:val="center"/>
          </w:tcPr>
          <w:p w14:paraId="26DE6FFF">
            <w:pPr>
              <w:spacing w:before="62" w:line="314" w:lineRule="auto"/>
              <w:ind w:right="104"/>
              <w:jc w:val="center"/>
              <w:rPr>
                <w:rFonts w:ascii="仿宋" w:hAnsi="仿宋" w:eastAsia="仿宋" w:cs="仿宋"/>
                <w:sz w:val="19"/>
                <w:szCs w:val="19"/>
              </w:rPr>
            </w:pPr>
            <w:r>
              <w:rPr>
                <w:rFonts w:ascii="仿宋" w:hAnsi="仿宋" w:eastAsia="仿宋" w:cs="仿宋"/>
                <w:sz w:val="19"/>
                <w:szCs w:val="19"/>
              </w:rPr>
              <w:t>B</w:t>
            </w:r>
            <w:r>
              <w:rPr>
                <w:rFonts w:ascii="仿宋" w:hAnsi="仿宋" w:eastAsia="仿宋" w:cs="仿宋"/>
                <w:spacing w:val="7"/>
                <w:sz w:val="19"/>
                <w:szCs w:val="19"/>
              </w:rPr>
              <w:t xml:space="preserve">51 </w:t>
            </w:r>
            <w:r>
              <w:rPr>
                <w:rFonts w:hint="eastAsia" w:ascii="仿宋" w:hAnsi="仿宋" w:eastAsia="仿宋" w:cs="仿宋"/>
                <w:spacing w:val="7"/>
                <w:sz w:val="19"/>
                <w:szCs w:val="19"/>
              </w:rPr>
              <w:t>人员管理制度执行有效性</w:t>
            </w:r>
          </w:p>
        </w:tc>
        <w:tc>
          <w:tcPr>
            <w:tcW w:w="1163" w:type="dxa"/>
            <w:vAlign w:val="center"/>
          </w:tcPr>
          <w:p w14:paraId="1BDAF1C7">
            <w:pPr>
              <w:spacing w:before="62" w:line="228" w:lineRule="auto"/>
              <w:jc w:val="center"/>
              <w:rPr>
                <w:rFonts w:ascii="仿宋" w:hAnsi="仿宋" w:eastAsia="仿宋" w:cs="仿宋"/>
                <w:sz w:val="19"/>
                <w:szCs w:val="19"/>
              </w:rPr>
            </w:pPr>
            <w:r>
              <w:rPr>
                <w:rFonts w:hint="eastAsia" w:ascii="仿宋" w:hAnsi="仿宋" w:eastAsia="仿宋" w:cs="仿宋"/>
                <w:spacing w:val="4"/>
                <w:sz w:val="19"/>
                <w:szCs w:val="19"/>
              </w:rPr>
              <w:t>有效</w:t>
            </w:r>
          </w:p>
        </w:tc>
        <w:tc>
          <w:tcPr>
            <w:tcW w:w="2563" w:type="dxa"/>
          </w:tcPr>
          <w:p w14:paraId="03DD49E6">
            <w:pPr>
              <w:spacing w:before="215" w:line="310" w:lineRule="auto"/>
              <w:ind w:left="122" w:right="105" w:hanging="3"/>
              <w:rPr>
                <w:rFonts w:ascii="仿宋" w:hAnsi="仿宋" w:eastAsia="仿宋" w:cs="仿宋"/>
                <w:sz w:val="19"/>
                <w:szCs w:val="19"/>
              </w:rPr>
            </w:pPr>
            <w:r>
              <w:rPr>
                <w:rFonts w:hint="eastAsia" w:ascii="仿宋" w:hAnsi="仿宋" w:eastAsia="仿宋" w:cs="仿宋"/>
                <w:sz w:val="19"/>
                <w:szCs w:val="19"/>
              </w:rPr>
              <w:t>考察部门人事管理制度执行以及应用情况。</w:t>
            </w:r>
          </w:p>
        </w:tc>
        <w:tc>
          <w:tcPr>
            <w:tcW w:w="3808" w:type="dxa"/>
          </w:tcPr>
          <w:p w14:paraId="277EFF01">
            <w:pPr>
              <w:spacing w:before="55" w:line="303" w:lineRule="auto"/>
              <w:ind w:left="127" w:right="344"/>
              <w:rPr>
                <w:rFonts w:ascii="仿宋" w:hAnsi="仿宋" w:eastAsia="仿宋" w:cs="仿宋"/>
                <w:sz w:val="19"/>
                <w:szCs w:val="19"/>
              </w:rPr>
            </w:pPr>
            <w:r>
              <w:rPr>
                <w:rFonts w:hint="eastAsia" w:ascii="仿宋" w:hAnsi="仿宋" w:eastAsia="仿宋" w:cs="仿宋"/>
                <w:spacing w:val="5"/>
                <w:sz w:val="19"/>
                <w:szCs w:val="19"/>
              </w:rPr>
              <w:t>1.按照相关人员制度执行</w:t>
            </w:r>
            <w:r>
              <w:rPr>
                <w:rFonts w:ascii="仿宋" w:hAnsi="仿宋" w:eastAsia="仿宋" w:cs="仿宋"/>
                <w:spacing w:val="5"/>
                <w:sz w:val="19"/>
                <w:szCs w:val="19"/>
              </w:rPr>
              <w:t>；</w:t>
            </w:r>
            <w:r>
              <w:rPr>
                <w:rFonts w:ascii="仿宋" w:hAnsi="仿宋" w:eastAsia="仿宋" w:cs="仿宋"/>
                <w:sz w:val="19"/>
                <w:szCs w:val="19"/>
              </w:rPr>
              <w:br w:type="textWrapping"/>
            </w:r>
            <w:r>
              <w:rPr>
                <w:rFonts w:ascii="仿宋" w:hAnsi="仿宋" w:eastAsia="仿宋" w:cs="仿宋"/>
                <w:spacing w:val="10"/>
                <w:sz w:val="19"/>
                <w:szCs w:val="19"/>
              </w:rPr>
              <w:t>2</w:t>
            </w:r>
            <w:r>
              <w:rPr>
                <w:rFonts w:hint="eastAsia" w:ascii="仿宋" w:hAnsi="仿宋" w:eastAsia="仿宋" w:cs="仿宋"/>
                <w:spacing w:val="10"/>
                <w:sz w:val="19"/>
                <w:szCs w:val="19"/>
              </w:rPr>
              <w:t>.</w:t>
            </w:r>
            <w:r>
              <w:rPr>
                <w:rFonts w:hint="eastAsia" w:ascii="仿宋" w:hAnsi="仿宋" w:eastAsia="仿宋" w:cs="仿宋"/>
                <w:sz w:val="19"/>
                <w:szCs w:val="19"/>
              </w:rPr>
              <w:t>相关制度执行有效</w:t>
            </w:r>
            <w:r>
              <w:rPr>
                <w:rFonts w:ascii="仿宋" w:hAnsi="仿宋" w:eastAsia="仿宋" w:cs="仿宋"/>
                <w:sz w:val="19"/>
                <w:szCs w:val="19"/>
              </w:rPr>
              <w:br w:type="textWrapping"/>
            </w:r>
            <w:r>
              <w:rPr>
                <w:rFonts w:hint="eastAsia" w:ascii="仿宋" w:hAnsi="仿宋" w:eastAsia="仿宋" w:cs="仿宋"/>
                <w:sz w:val="19"/>
                <w:szCs w:val="19"/>
              </w:rPr>
              <w:t>以上 2 项各占 1/2 权重分， 符合得对应权重分，否则不得分。</w:t>
            </w:r>
          </w:p>
        </w:tc>
        <w:tc>
          <w:tcPr>
            <w:tcW w:w="801" w:type="dxa"/>
            <w:vAlign w:val="center"/>
          </w:tcPr>
          <w:p w14:paraId="1BE0DA3C">
            <w:pPr>
              <w:spacing w:before="62" w:line="185" w:lineRule="auto"/>
              <w:jc w:val="center"/>
              <w:rPr>
                <w:rFonts w:ascii="仿宋" w:hAnsi="仿宋" w:eastAsia="仿宋" w:cs="仿宋"/>
                <w:sz w:val="19"/>
                <w:szCs w:val="19"/>
              </w:rPr>
            </w:pPr>
            <w:r>
              <w:rPr>
                <w:rFonts w:hint="eastAsia" w:ascii="仿宋" w:hAnsi="仿宋" w:eastAsia="仿宋" w:cs="仿宋"/>
                <w:sz w:val="19"/>
                <w:szCs w:val="19"/>
              </w:rPr>
              <w:t>2</w:t>
            </w:r>
          </w:p>
        </w:tc>
        <w:tc>
          <w:tcPr>
            <w:tcW w:w="809" w:type="dxa"/>
            <w:vAlign w:val="center"/>
          </w:tcPr>
          <w:p w14:paraId="73FD3920">
            <w:pPr>
              <w:spacing w:before="62" w:line="184" w:lineRule="auto"/>
              <w:jc w:val="center"/>
              <w:rPr>
                <w:rFonts w:ascii="仿宋" w:hAnsi="仿宋" w:eastAsia="仿宋" w:cs="仿宋"/>
                <w:sz w:val="19"/>
                <w:szCs w:val="19"/>
              </w:rPr>
            </w:pPr>
            <w:r>
              <w:rPr>
                <w:rFonts w:hint="eastAsia" w:ascii="仿宋" w:hAnsi="仿宋" w:eastAsia="仿宋" w:cs="仿宋"/>
                <w:spacing w:val="3"/>
                <w:sz w:val="19"/>
                <w:szCs w:val="19"/>
              </w:rPr>
              <w:t>2</w:t>
            </w:r>
          </w:p>
        </w:tc>
      </w:tr>
      <w:tr w14:paraId="4BE833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1713" w:type="dxa"/>
            <w:vMerge w:val="continue"/>
          </w:tcPr>
          <w:p w14:paraId="375602A7">
            <w:pPr>
              <w:rPr>
                <w:rFonts w:ascii="Arial"/>
              </w:rPr>
            </w:pPr>
          </w:p>
        </w:tc>
        <w:tc>
          <w:tcPr>
            <w:tcW w:w="1526" w:type="dxa"/>
            <w:vMerge w:val="continue"/>
          </w:tcPr>
          <w:p w14:paraId="12A0ACF2">
            <w:pPr>
              <w:rPr>
                <w:rFonts w:ascii="Arial"/>
              </w:rPr>
            </w:pPr>
          </w:p>
        </w:tc>
        <w:tc>
          <w:tcPr>
            <w:tcW w:w="1572" w:type="dxa"/>
            <w:vAlign w:val="center"/>
          </w:tcPr>
          <w:p w14:paraId="102778D7">
            <w:pPr>
              <w:spacing w:before="215" w:line="314" w:lineRule="auto"/>
              <w:ind w:left="116" w:right="104" w:hanging="10"/>
              <w:rPr>
                <w:rFonts w:ascii="仿宋" w:hAnsi="仿宋" w:eastAsia="仿宋" w:cs="仿宋"/>
                <w:sz w:val="19"/>
                <w:szCs w:val="19"/>
              </w:rPr>
            </w:pPr>
            <w:r>
              <w:rPr>
                <w:rFonts w:ascii="仿宋" w:hAnsi="仿宋" w:eastAsia="仿宋" w:cs="仿宋"/>
                <w:sz w:val="19"/>
                <w:szCs w:val="19"/>
              </w:rPr>
              <w:t>B</w:t>
            </w:r>
            <w:r>
              <w:rPr>
                <w:rFonts w:ascii="仿宋" w:hAnsi="仿宋" w:eastAsia="仿宋" w:cs="仿宋"/>
                <w:spacing w:val="7"/>
                <w:sz w:val="19"/>
                <w:szCs w:val="19"/>
              </w:rPr>
              <w:t xml:space="preserve">52 </w:t>
            </w:r>
            <w:r>
              <w:rPr>
                <w:rFonts w:hint="eastAsia" w:ascii="仿宋" w:hAnsi="仿宋" w:eastAsia="仿宋" w:cs="仿宋"/>
                <w:spacing w:val="7"/>
                <w:sz w:val="19"/>
                <w:szCs w:val="19"/>
              </w:rPr>
              <w:t>在职人员控制率</w:t>
            </w:r>
          </w:p>
        </w:tc>
        <w:tc>
          <w:tcPr>
            <w:tcW w:w="1163" w:type="dxa"/>
            <w:vAlign w:val="center"/>
          </w:tcPr>
          <w:p w14:paraId="6A3D217D">
            <w:pPr>
              <w:spacing w:before="62" w:line="230" w:lineRule="auto"/>
              <w:jc w:val="center"/>
              <w:rPr>
                <w:rFonts w:ascii="仿宋" w:hAnsi="仿宋" w:eastAsia="仿宋" w:cs="仿宋"/>
                <w:sz w:val="19"/>
                <w:szCs w:val="19"/>
              </w:rPr>
            </w:pPr>
            <w:r>
              <w:rPr>
                <w:rFonts w:hint="eastAsia" w:ascii="仿宋" w:hAnsi="仿宋" w:eastAsia="仿宋" w:cs="仿宋"/>
                <w:spacing w:val="4"/>
                <w:sz w:val="19"/>
                <w:szCs w:val="19"/>
              </w:rPr>
              <w:t>100%</w:t>
            </w:r>
          </w:p>
        </w:tc>
        <w:tc>
          <w:tcPr>
            <w:tcW w:w="2563" w:type="dxa"/>
          </w:tcPr>
          <w:p w14:paraId="36AEEACC">
            <w:pPr>
              <w:spacing w:before="59" w:line="277" w:lineRule="auto"/>
              <w:ind w:left="119" w:right="105"/>
              <w:rPr>
                <w:rFonts w:ascii="仿宋" w:hAnsi="仿宋" w:eastAsia="仿宋" w:cs="仿宋"/>
                <w:sz w:val="19"/>
                <w:szCs w:val="19"/>
              </w:rPr>
            </w:pPr>
            <w:r>
              <w:rPr>
                <w:rFonts w:hint="eastAsia" w:ascii="仿宋" w:hAnsi="仿宋" w:eastAsia="仿宋" w:cs="仿宋"/>
                <w:sz w:val="19"/>
                <w:szCs w:val="19"/>
              </w:rPr>
              <w:t>考察部门 2024年度实际在 职人员数与编制数的比率， 用以反映和考核单位对人员成本的控制程度。</w:t>
            </w:r>
          </w:p>
        </w:tc>
        <w:tc>
          <w:tcPr>
            <w:tcW w:w="3808" w:type="dxa"/>
          </w:tcPr>
          <w:p w14:paraId="68A6E2D5">
            <w:pPr>
              <w:spacing w:before="59" w:line="278" w:lineRule="auto"/>
              <w:ind w:left="119" w:right="101" w:firstLine="1"/>
              <w:rPr>
                <w:rFonts w:ascii="仿宋" w:hAnsi="仿宋" w:eastAsia="仿宋" w:cs="仿宋"/>
                <w:sz w:val="19"/>
                <w:szCs w:val="19"/>
              </w:rPr>
            </w:pPr>
            <w:r>
              <w:rPr>
                <w:rFonts w:ascii="仿宋" w:hAnsi="仿宋" w:eastAsia="仿宋" w:cs="仿宋"/>
                <w:spacing w:val="3"/>
                <w:sz w:val="19"/>
                <w:szCs w:val="19"/>
              </w:rPr>
              <w:t xml:space="preserve">在职人员控制率= </w:t>
            </w:r>
            <w:r>
              <w:rPr>
                <w:rFonts w:hint="eastAsia" w:ascii="仿宋" w:hAnsi="仿宋" w:eastAsia="仿宋" w:cs="仿宋"/>
                <w:spacing w:val="3"/>
                <w:sz w:val="19"/>
                <w:szCs w:val="19"/>
              </w:rPr>
              <w:t>（</w:t>
            </w:r>
            <w:r>
              <w:rPr>
                <w:rFonts w:ascii="仿宋" w:hAnsi="仿宋" w:eastAsia="仿宋" w:cs="仿宋"/>
                <w:spacing w:val="1"/>
                <w:sz w:val="19"/>
                <w:szCs w:val="19"/>
              </w:rPr>
              <w:t>在</w:t>
            </w:r>
            <w:r>
              <w:rPr>
                <w:rFonts w:ascii="仿宋" w:hAnsi="仿宋" w:eastAsia="仿宋" w:cs="仿宋"/>
                <w:spacing w:val="-21"/>
                <w:sz w:val="19"/>
                <w:szCs w:val="19"/>
              </w:rPr>
              <w:t>职</w:t>
            </w:r>
            <w:r>
              <w:rPr>
                <w:rFonts w:ascii="仿宋" w:hAnsi="仿宋" w:eastAsia="仿宋" w:cs="仿宋"/>
                <w:spacing w:val="-16"/>
                <w:sz w:val="19"/>
                <w:szCs w:val="19"/>
              </w:rPr>
              <w:t xml:space="preserve"> 人 员 数 / 编 制 数 )  ×</w:t>
            </w:r>
            <w:r>
              <w:rPr>
                <w:rFonts w:ascii="仿宋" w:hAnsi="仿宋" w:eastAsia="仿宋" w:cs="仿宋"/>
                <w:spacing w:val="15"/>
                <w:sz w:val="19"/>
                <w:szCs w:val="19"/>
              </w:rPr>
              <w:t>100%。</w:t>
            </w:r>
            <w:r>
              <w:rPr>
                <w:rFonts w:ascii="仿宋" w:hAnsi="仿宋" w:eastAsia="仿宋" w:cs="仿宋"/>
                <w:spacing w:val="24"/>
                <w:sz w:val="19"/>
                <w:szCs w:val="19"/>
              </w:rPr>
              <w:t>在</w:t>
            </w:r>
            <w:r>
              <w:rPr>
                <w:rFonts w:ascii="仿宋" w:hAnsi="仿宋" w:eastAsia="仿宋" w:cs="仿宋"/>
                <w:spacing w:val="20"/>
                <w:sz w:val="19"/>
                <w:szCs w:val="19"/>
              </w:rPr>
              <w:t>职人员控制率达到目标值得对应权重</w:t>
            </w:r>
            <w:r>
              <w:rPr>
                <w:rFonts w:ascii="仿宋" w:hAnsi="仿宋" w:eastAsia="仿宋" w:cs="仿宋"/>
                <w:spacing w:val="6"/>
                <w:sz w:val="19"/>
                <w:szCs w:val="19"/>
              </w:rPr>
              <w:t>分，</w:t>
            </w:r>
            <w:r>
              <w:rPr>
                <w:rFonts w:ascii="仿宋" w:hAnsi="仿宋" w:eastAsia="仿宋" w:cs="仿宋"/>
                <w:spacing w:val="4"/>
                <w:sz w:val="19"/>
                <w:szCs w:val="19"/>
              </w:rPr>
              <w:t>否</w:t>
            </w:r>
            <w:r>
              <w:rPr>
                <w:rFonts w:ascii="仿宋" w:hAnsi="仿宋" w:eastAsia="仿宋" w:cs="仿宋"/>
                <w:spacing w:val="3"/>
                <w:sz w:val="19"/>
                <w:szCs w:val="19"/>
              </w:rPr>
              <w:t>则每降低或超过一个百分点扣减 1%</w:t>
            </w:r>
            <w:r>
              <w:rPr>
                <w:rFonts w:ascii="仿宋" w:hAnsi="仿宋" w:eastAsia="仿宋" w:cs="仿宋"/>
                <w:spacing w:val="-8"/>
                <w:sz w:val="19"/>
                <w:szCs w:val="19"/>
              </w:rPr>
              <w:t>权</w:t>
            </w:r>
            <w:r>
              <w:rPr>
                <w:rFonts w:ascii="仿宋" w:hAnsi="仿宋" w:eastAsia="仿宋" w:cs="仿宋"/>
                <w:spacing w:val="-5"/>
                <w:sz w:val="19"/>
                <w:szCs w:val="19"/>
              </w:rPr>
              <w:t>重</w:t>
            </w:r>
            <w:r>
              <w:rPr>
                <w:rFonts w:ascii="仿宋" w:hAnsi="仿宋" w:eastAsia="仿宋" w:cs="仿宋"/>
                <w:spacing w:val="-4"/>
                <w:sz w:val="19"/>
                <w:szCs w:val="19"/>
              </w:rPr>
              <w:t>分， 扣完即止。</w:t>
            </w:r>
          </w:p>
        </w:tc>
        <w:tc>
          <w:tcPr>
            <w:tcW w:w="801" w:type="dxa"/>
            <w:vAlign w:val="center"/>
          </w:tcPr>
          <w:p w14:paraId="586DA2DC">
            <w:pPr>
              <w:spacing w:before="62" w:line="184" w:lineRule="auto"/>
              <w:jc w:val="center"/>
              <w:rPr>
                <w:rFonts w:ascii="仿宋" w:hAnsi="仿宋" w:eastAsia="仿宋" w:cs="仿宋"/>
                <w:sz w:val="19"/>
                <w:szCs w:val="19"/>
              </w:rPr>
            </w:pPr>
            <w:r>
              <w:rPr>
                <w:rFonts w:ascii="仿宋" w:hAnsi="仿宋" w:eastAsia="仿宋" w:cs="仿宋"/>
                <w:sz w:val="19"/>
                <w:szCs w:val="19"/>
              </w:rPr>
              <w:t>2</w:t>
            </w:r>
          </w:p>
        </w:tc>
        <w:tc>
          <w:tcPr>
            <w:tcW w:w="809" w:type="dxa"/>
            <w:vAlign w:val="center"/>
          </w:tcPr>
          <w:p w14:paraId="7386B652">
            <w:pPr>
              <w:spacing w:before="62" w:line="185" w:lineRule="auto"/>
              <w:jc w:val="center"/>
              <w:rPr>
                <w:rFonts w:ascii="仿宋" w:hAnsi="仿宋" w:eastAsia="仿宋" w:cs="仿宋"/>
                <w:sz w:val="19"/>
                <w:szCs w:val="19"/>
              </w:rPr>
            </w:pPr>
            <w:r>
              <w:rPr>
                <w:rFonts w:ascii="仿宋" w:hAnsi="仿宋" w:eastAsia="仿宋" w:cs="仿宋"/>
                <w:spacing w:val="-2"/>
                <w:sz w:val="19"/>
                <w:szCs w:val="19"/>
              </w:rPr>
              <w:t>1</w:t>
            </w:r>
            <w:r>
              <w:rPr>
                <w:rFonts w:ascii="仿宋" w:hAnsi="仿宋" w:eastAsia="仿宋" w:cs="仿宋"/>
                <w:spacing w:val="-1"/>
                <w:sz w:val="19"/>
                <w:szCs w:val="19"/>
              </w:rPr>
              <w:t>.</w:t>
            </w:r>
            <w:r>
              <w:rPr>
                <w:rFonts w:hint="eastAsia" w:ascii="仿宋" w:hAnsi="仿宋" w:eastAsia="仿宋" w:cs="仿宋"/>
                <w:spacing w:val="-1"/>
                <w:sz w:val="19"/>
                <w:szCs w:val="19"/>
              </w:rPr>
              <w:t>69</w:t>
            </w:r>
          </w:p>
        </w:tc>
      </w:tr>
      <w:tr w14:paraId="53C8DD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1713" w:type="dxa"/>
            <w:vMerge w:val="continue"/>
          </w:tcPr>
          <w:p w14:paraId="7C8A4E54">
            <w:pPr>
              <w:rPr>
                <w:rFonts w:ascii="Arial"/>
              </w:rPr>
            </w:pPr>
          </w:p>
        </w:tc>
        <w:tc>
          <w:tcPr>
            <w:tcW w:w="1526" w:type="dxa"/>
            <w:vMerge w:val="continue"/>
          </w:tcPr>
          <w:p w14:paraId="30BDE83D">
            <w:pPr>
              <w:rPr>
                <w:rFonts w:ascii="Arial"/>
              </w:rPr>
            </w:pPr>
          </w:p>
        </w:tc>
        <w:tc>
          <w:tcPr>
            <w:tcW w:w="1572" w:type="dxa"/>
            <w:vAlign w:val="center"/>
          </w:tcPr>
          <w:p w14:paraId="02C3E50B">
            <w:pPr>
              <w:spacing w:before="215" w:line="314" w:lineRule="auto"/>
              <w:ind w:left="116" w:right="104" w:hanging="10"/>
              <w:rPr>
                <w:rFonts w:ascii="仿宋" w:hAnsi="仿宋" w:eastAsia="仿宋" w:cs="仿宋"/>
                <w:sz w:val="19"/>
                <w:szCs w:val="19"/>
              </w:rPr>
            </w:pPr>
            <w:r>
              <w:rPr>
                <w:rFonts w:ascii="仿宋" w:hAnsi="仿宋" w:eastAsia="仿宋" w:cs="仿宋"/>
                <w:sz w:val="19"/>
                <w:szCs w:val="19"/>
              </w:rPr>
              <w:t>B</w:t>
            </w:r>
            <w:r>
              <w:rPr>
                <w:rFonts w:ascii="仿宋" w:hAnsi="仿宋" w:eastAsia="仿宋" w:cs="仿宋"/>
                <w:spacing w:val="7"/>
                <w:sz w:val="19"/>
                <w:szCs w:val="19"/>
              </w:rPr>
              <w:t>5</w:t>
            </w:r>
            <w:r>
              <w:rPr>
                <w:rFonts w:hint="eastAsia" w:ascii="仿宋" w:hAnsi="仿宋" w:eastAsia="仿宋" w:cs="仿宋"/>
                <w:spacing w:val="7"/>
                <w:sz w:val="19"/>
                <w:szCs w:val="19"/>
              </w:rPr>
              <w:t>3人员管理制度健全性</w:t>
            </w:r>
          </w:p>
        </w:tc>
        <w:tc>
          <w:tcPr>
            <w:tcW w:w="1163" w:type="dxa"/>
            <w:vAlign w:val="center"/>
          </w:tcPr>
          <w:p w14:paraId="46C12225">
            <w:pPr>
              <w:spacing w:before="62" w:line="230" w:lineRule="auto"/>
              <w:jc w:val="center"/>
              <w:rPr>
                <w:rFonts w:ascii="仿宋" w:hAnsi="仿宋" w:eastAsia="仿宋" w:cs="仿宋"/>
                <w:spacing w:val="4"/>
                <w:sz w:val="19"/>
                <w:szCs w:val="19"/>
              </w:rPr>
            </w:pPr>
            <w:r>
              <w:rPr>
                <w:rFonts w:hint="eastAsia" w:ascii="仿宋" w:hAnsi="仿宋" w:eastAsia="仿宋" w:cs="仿宋"/>
                <w:spacing w:val="4"/>
                <w:sz w:val="19"/>
                <w:szCs w:val="19"/>
              </w:rPr>
              <w:t>健全</w:t>
            </w:r>
          </w:p>
        </w:tc>
        <w:tc>
          <w:tcPr>
            <w:tcW w:w="2563" w:type="dxa"/>
          </w:tcPr>
          <w:p w14:paraId="143725F4">
            <w:pPr>
              <w:spacing w:before="215" w:line="310" w:lineRule="auto"/>
              <w:ind w:left="122" w:right="105" w:hanging="3"/>
              <w:rPr>
                <w:rFonts w:ascii="仿宋" w:hAnsi="仿宋" w:eastAsia="仿宋" w:cs="仿宋"/>
                <w:sz w:val="19"/>
                <w:szCs w:val="19"/>
              </w:rPr>
            </w:pPr>
            <w:r>
              <w:rPr>
                <w:rFonts w:hint="eastAsia" w:ascii="仿宋" w:hAnsi="仿宋" w:eastAsia="仿宋" w:cs="仿宋"/>
                <w:sz w:val="19"/>
                <w:szCs w:val="19"/>
              </w:rPr>
              <w:t>考察部门是否建立相关人事管理考核办法及制度的执行以及应用情况。</w:t>
            </w:r>
          </w:p>
        </w:tc>
        <w:tc>
          <w:tcPr>
            <w:tcW w:w="3808" w:type="dxa"/>
          </w:tcPr>
          <w:p w14:paraId="7AC6F94F">
            <w:pPr>
              <w:spacing w:before="55" w:line="303" w:lineRule="auto"/>
              <w:ind w:left="115" w:right="344" w:firstLine="12"/>
              <w:rPr>
                <w:rFonts w:ascii="仿宋" w:hAnsi="仿宋" w:eastAsia="仿宋" w:cs="仿宋"/>
                <w:sz w:val="19"/>
                <w:szCs w:val="19"/>
              </w:rPr>
            </w:pPr>
            <w:r>
              <w:rPr>
                <w:rFonts w:ascii="仿宋" w:hAnsi="仿宋" w:eastAsia="仿宋" w:cs="仿宋"/>
                <w:spacing w:val="8"/>
                <w:sz w:val="19"/>
                <w:szCs w:val="19"/>
              </w:rPr>
              <w:t>1</w:t>
            </w:r>
            <w:r>
              <w:rPr>
                <w:rFonts w:ascii="仿宋" w:hAnsi="仿宋" w:eastAsia="仿宋" w:cs="仿宋"/>
                <w:spacing w:val="5"/>
                <w:sz w:val="19"/>
                <w:szCs w:val="19"/>
              </w:rPr>
              <w:t>.建立了人事管理制度及考核办法；</w:t>
            </w:r>
            <w:r>
              <w:rPr>
                <w:rFonts w:ascii="仿宋" w:hAnsi="仿宋" w:eastAsia="仿宋" w:cs="仿宋"/>
                <w:spacing w:val="10"/>
                <w:sz w:val="19"/>
                <w:szCs w:val="19"/>
              </w:rPr>
              <w:t>2</w:t>
            </w:r>
            <w:r>
              <w:rPr>
                <w:rFonts w:ascii="仿宋" w:hAnsi="仿宋" w:eastAsia="仿宋" w:cs="仿宋"/>
                <w:spacing w:val="6"/>
                <w:sz w:val="19"/>
                <w:szCs w:val="19"/>
              </w:rPr>
              <w:t>.根据人事管理制度等开展</w:t>
            </w:r>
            <w:r>
              <w:rPr>
                <w:rFonts w:hint="eastAsia" w:ascii="仿宋" w:hAnsi="仿宋" w:eastAsia="仿宋" w:cs="仿宋"/>
                <w:spacing w:val="6"/>
                <w:sz w:val="19"/>
                <w:szCs w:val="19"/>
              </w:rPr>
              <w:t>人员</w:t>
            </w:r>
            <w:r>
              <w:rPr>
                <w:rFonts w:ascii="仿宋" w:hAnsi="仿宋" w:eastAsia="仿宋" w:cs="仿宋"/>
                <w:spacing w:val="6"/>
                <w:sz w:val="19"/>
                <w:szCs w:val="19"/>
              </w:rPr>
              <w:t>考核；</w:t>
            </w:r>
            <w:r>
              <w:rPr>
                <w:rFonts w:ascii="仿宋" w:hAnsi="仿宋" w:eastAsia="仿宋" w:cs="仿宋"/>
                <w:spacing w:val="10"/>
                <w:sz w:val="19"/>
                <w:szCs w:val="19"/>
              </w:rPr>
              <w:t>3</w:t>
            </w:r>
            <w:r>
              <w:rPr>
                <w:rFonts w:ascii="仿宋" w:hAnsi="仿宋" w:eastAsia="仿宋" w:cs="仿宋"/>
                <w:spacing w:val="6"/>
                <w:sz w:val="19"/>
                <w:szCs w:val="19"/>
              </w:rPr>
              <w:t>.对人事考核结果进行应用。</w:t>
            </w:r>
          </w:p>
          <w:p w14:paraId="2337E69B">
            <w:pPr>
              <w:spacing w:before="59" w:line="284" w:lineRule="auto"/>
              <w:ind w:left="115" w:right="103" w:firstLine="12"/>
              <w:rPr>
                <w:rFonts w:ascii="仿宋" w:hAnsi="仿宋" w:eastAsia="仿宋" w:cs="仿宋"/>
                <w:sz w:val="19"/>
                <w:szCs w:val="19"/>
              </w:rPr>
            </w:pPr>
            <w:r>
              <w:rPr>
                <w:rFonts w:ascii="仿宋" w:hAnsi="仿宋" w:eastAsia="仿宋" w:cs="仿宋"/>
                <w:spacing w:val="-4"/>
                <w:sz w:val="19"/>
                <w:szCs w:val="19"/>
              </w:rPr>
              <w:t>以上三项各</w:t>
            </w:r>
            <w:r>
              <w:rPr>
                <w:rFonts w:ascii="仿宋" w:hAnsi="仿宋" w:eastAsia="仿宋" w:cs="仿宋"/>
                <w:spacing w:val="-2"/>
                <w:sz w:val="19"/>
                <w:szCs w:val="19"/>
              </w:rPr>
              <w:t>占 1/3 权重分， 有则得分，否</w:t>
            </w:r>
            <w:r>
              <w:rPr>
                <w:rFonts w:ascii="仿宋" w:hAnsi="仿宋" w:eastAsia="仿宋" w:cs="仿宋"/>
                <w:spacing w:val="7"/>
                <w:sz w:val="19"/>
                <w:szCs w:val="19"/>
              </w:rPr>
              <w:t>则</w:t>
            </w:r>
            <w:r>
              <w:rPr>
                <w:rFonts w:ascii="仿宋" w:hAnsi="仿宋" w:eastAsia="仿宋" w:cs="仿宋"/>
                <w:spacing w:val="5"/>
                <w:sz w:val="19"/>
                <w:szCs w:val="19"/>
              </w:rPr>
              <w:t>扣除对应权重分。</w:t>
            </w:r>
          </w:p>
        </w:tc>
        <w:tc>
          <w:tcPr>
            <w:tcW w:w="801" w:type="dxa"/>
            <w:vAlign w:val="center"/>
          </w:tcPr>
          <w:p w14:paraId="3722D34A">
            <w:pPr>
              <w:spacing w:before="62" w:line="185" w:lineRule="auto"/>
              <w:jc w:val="center"/>
              <w:rPr>
                <w:rFonts w:ascii="仿宋" w:hAnsi="仿宋" w:eastAsia="仿宋" w:cs="仿宋"/>
                <w:sz w:val="19"/>
                <w:szCs w:val="19"/>
              </w:rPr>
            </w:pPr>
            <w:r>
              <w:rPr>
                <w:rFonts w:hint="eastAsia" w:ascii="仿宋" w:hAnsi="仿宋" w:eastAsia="仿宋" w:cs="仿宋"/>
                <w:sz w:val="19"/>
                <w:szCs w:val="19"/>
              </w:rPr>
              <w:t>2</w:t>
            </w:r>
          </w:p>
        </w:tc>
        <w:tc>
          <w:tcPr>
            <w:tcW w:w="809" w:type="dxa"/>
            <w:vAlign w:val="center"/>
          </w:tcPr>
          <w:p w14:paraId="50DAB604">
            <w:pPr>
              <w:spacing w:before="62" w:line="184" w:lineRule="auto"/>
              <w:jc w:val="center"/>
              <w:rPr>
                <w:rFonts w:ascii="仿宋" w:hAnsi="仿宋" w:eastAsia="仿宋" w:cs="仿宋"/>
                <w:sz w:val="19"/>
                <w:szCs w:val="19"/>
              </w:rPr>
            </w:pPr>
            <w:r>
              <w:rPr>
                <w:rFonts w:hint="eastAsia" w:ascii="仿宋" w:hAnsi="仿宋" w:eastAsia="仿宋" w:cs="仿宋"/>
                <w:spacing w:val="3"/>
                <w:sz w:val="19"/>
                <w:szCs w:val="19"/>
              </w:rPr>
              <w:t>2</w:t>
            </w:r>
          </w:p>
        </w:tc>
      </w:tr>
    </w:tbl>
    <w:p w14:paraId="052967F8"/>
    <w:tbl>
      <w:tblPr>
        <w:tblStyle w:val="10"/>
        <w:tblW w:w="139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13"/>
        <w:gridCol w:w="1526"/>
        <w:gridCol w:w="1507"/>
        <w:gridCol w:w="1228"/>
        <w:gridCol w:w="2563"/>
        <w:gridCol w:w="3808"/>
        <w:gridCol w:w="801"/>
        <w:gridCol w:w="809"/>
      </w:tblGrid>
      <w:tr w14:paraId="4535CF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4746" w:type="dxa"/>
            <w:gridSpan w:val="3"/>
          </w:tcPr>
          <w:p w14:paraId="668A307F">
            <w:pPr>
              <w:spacing w:before="59" w:line="229" w:lineRule="auto"/>
              <w:ind w:left="2176"/>
              <w:rPr>
                <w:rFonts w:ascii="黑体" w:hAnsi="黑体" w:eastAsia="黑体" w:cs="黑体"/>
                <w:sz w:val="19"/>
                <w:szCs w:val="19"/>
              </w:rPr>
            </w:pPr>
            <w:r>
              <w:rPr>
                <w:rFonts w:ascii="黑体" w:hAnsi="黑体" w:eastAsia="黑体" w:cs="黑体"/>
                <w:spacing w:val="7"/>
                <w:sz w:val="19"/>
                <w:szCs w:val="19"/>
              </w:rPr>
              <w:t>指</w:t>
            </w:r>
            <w:r>
              <w:rPr>
                <w:rFonts w:ascii="黑体" w:hAnsi="黑体" w:eastAsia="黑体" w:cs="黑体"/>
                <w:spacing w:val="6"/>
                <w:sz w:val="19"/>
                <w:szCs w:val="19"/>
              </w:rPr>
              <w:t>标</w:t>
            </w:r>
          </w:p>
        </w:tc>
        <w:tc>
          <w:tcPr>
            <w:tcW w:w="1228" w:type="dxa"/>
            <w:vMerge w:val="restart"/>
            <w:tcBorders>
              <w:bottom w:val="nil"/>
            </w:tcBorders>
          </w:tcPr>
          <w:p w14:paraId="7DB5231F">
            <w:pPr>
              <w:spacing w:before="234" w:line="230" w:lineRule="auto"/>
              <w:ind w:left="313"/>
              <w:rPr>
                <w:rFonts w:ascii="黑体" w:hAnsi="黑体" w:eastAsia="黑体" w:cs="黑体"/>
                <w:sz w:val="19"/>
                <w:szCs w:val="19"/>
              </w:rPr>
            </w:pPr>
            <w:r>
              <w:rPr>
                <w:rFonts w:ascii="黑体" w:hAnsi="黑体" w:eastAsia="黑体" w:cs="黑体"/>
                <w:spacing w:val="9"/>
                <w:sz w:val="19"/>
                <w:szCs w:val="19"/>
              </w:rPr>
              <w:t>标</w:t>
            </w:r>
            <w:r>
              <w:rPr>
                <w:rFonts w:ascii="黑体" w:hAnsi="黑体" w:eastAsia="黑体" w:cs="黑体"/>
                <w:spacing w:val="8"/>
                <w:sz w:val="19"/>
                <w:szCs w:val="19"/>
              </w:rPr>
              <w:t>准值</w:t>
            </w:r>
          </w:p>
        </w:tc>
        <w:tc>
          <w:tcPr>
            <w:tcW w:w="2563" w:type="dxa"/>
            <w:vMerge w:val="restart"/>
            <w:tcBorders>
              <w:bottom w:val="nil"/>
            </w:tcBorders>
          </w:tcPr>
          <w:p w14:paraId="327DA0A4">
            <w:pPr>
              <w:spacing w:before="234" w:line="228" w:lineRule="auto"/>
              <w:ind w:left="886"/>
              <w:rPr>
                <w:rFonts w:ascii="黑体" w:hAnsi="黑体" w:eastAsia="黑体" w:cs="黑体"/>
                <w:sz w:val="19"/>
                <w:szCs w:val="19"/>
              </w:rPr>
            </w:pPr>
            <w:r>
              <w:rPr>
                <w:rFonts w:ascii="黑体" w:hAnsi="黑体" w:eastAsia="黑体" w:cs="黑体"/>
                <w:spacing w:val="8"/>
                <w:sz w:val="19"/>
                <w:szCs w:val="19"/>
              </w:rPr>
              <w:t>指标解释</w:t>
            </w:r>
          </w:p>
        </w:tc>
        <w:tc>
          <w:tcPr>
            <w:tcW w:w="3808" w:type="dxa"/>
            <w:vMerge w:val="restart"/>
            <w:tcBorders>
              <w:bottom w:val="nil"/>
            </w:tcBorders>
          </w:tcPr>
          <w:p w14:paraId="6EC18C4D">
            <w:pPr>
              <w:spacing w:before="234" w:line="228" w:lineRule="auto"/>
              <w:ind w:left="1510"/>
              <w:rPr>
                <w:rFonts w:ascii="黑体" w:hAnsi="黑体" w:eastAsia="黑体" w:cs="黑体"/>
                <w:sz w:val="19"/>
                <w:szCs w:val="19"/>
              </w:rPr>
            </w:pPr>
            <w:r>
              <w:rPr>
                <w:rFonts w:ascii="黑体" w:hAnsi="黑体" w:eastAsia="黑体" w:cs="黑体"/>
                <w:spacing w:val="8"/>
                <w:sz w:val="19"/>
                <w:szCs w:val="19"/>
              </w:rPr>
              <w:t>评价标准</w:t>
            </w:r>
          </w:p>
        </w:tc>
        <w:tc>
          <w:tcPr>
            <w:tcW w:w="801" w:type="dxa"/>
            <w:vMerge w:val="restart"/>
            <w:tcBorders>
              <w:bottom w:val="nil"/>
            </w:tcBorders>
          </w:tcPr>
          <w:p w14:paraId="72F9016F">
            <w:pPr>
              <w:spacing w:before="234" w:line="230" w:lineRule="auto"/>
              <w:ind w:left="207"/>
              <w:rPr>
                <w:rFonts w:ascii="黑体" w:hAnsi="黑体" w:eastAsia="黑体" w:cs="黑体"/>
                <w:sz w:val="19"/>
                <w:szCs w:val="19"/>
              </w:rPr>
            </w:pPr>
            <w:r>
              <w:rPr>
                <w:rFonts w:ascii="黑体" w:hAnsi="黑体" w:eastAsia="黑体" w:cs="黑体"/>
                <w:spacing w:val="7"/>
                <w:sz w:val="19"/>
                <w:szCs w:val="19"/>
              </w:rPr>
              <w:t>权重</w:t>
            </w:r>
          </w:p>
        </w:tc>
        <w:tc>
          <w:tcPr>
            <w:tcW w:w="809" w:type="dxa"/>
            <w:vMerge w:val="restart"/>
            <w:tcBorders>
              <w:bottom w:val="nil"/>
            </w:tcBorders>
          </w:tcPr>
          <w:p w14:paraId="0994247B">
            <w:pPr>
              <w:spacing w:before="234" w:line="228" w:lineRule="auto"/>
              <w:ind w:left="210"/>
              <w:rPr>
                <w:rFonts w:ascii="黑体" w:hAnsi="黑体" w:eastAsia="黑体" w:cs="黑体"/>
                <w:sz w:val="19"/>
                <w:szCs w:val="19"/>
              </w:rPr>
            </w:pPr>
            <w:r>
              <w:rPr>
                <w:rFonts w:ascii="黑体" w:hAnsi="黑体" w:eastAsia="黑体" w:cs="黑体"/>
                <w:spacing w:val="6"/>
                <w:sz w:val="19"/>
                <w:szCs w:val="19"/>
              </w:rPr>
              <w:t>得分</w:t>
            </w:r>
          </w:p>
        </w:tc>
      </w:tr>
      <w:tr w14:paraId="5BF7F9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1713" w:type="dxa"/>
          </w:tcPr>
          <w:p w14:paraId="3FB1C175">
            <w:pPr>
              <w:spacing w:before="69" w:line="227" w:lineRule="auto"/>
              <w:ind w:left="464"/>
              <w:rPr>
                <w:rFonts w:ascii="黑体" w:hAnsi="黑体" w:eastAsia="黑体" w:cs="黑体"/>
                <w:sz w:val="19"/>
                <w:szCs w:val="19"/>
              </w:rPr>
            </w:pPr>
            <w:r>
              <w:rPr>
                <w:rFonts w:ascii="黑体" w:hAnsi="黑体" w:eastAsia="黑体" w:cs="黑体"/>
                <w:spacing w:val="7"/>
                <w:sz w:val="19"/>
                <w:szCs w:val="19"/>
              </w:rPr>
              <w:t>一级指标</w:t>
            </w:r>
          </w:p>
        </w:tc>
        <w:tc>
          <w:tcPr>
            <w:tcW w:w="1526" w:type="dxa"/>
          </w:tcPr>
          <w:p w14:paraId="7355465A">
            <w:pPr>
              <w:spacing w:before="69" w:line="227" w:lineRule="auto"/>
              <w:ind w:left="369"/>
              <w:rPr>
                <w:rFonts w:ascii="黑体" w:hAnsi="黑体" w:eastAsia="黑体" w:cs="黑体"/>
                <w:sz w:val="19"/>
                <w:szCs w:val="19"/>
              </w:rPr>
            </w:pPr>
            <w:r>
              <w:rPr>
                <w:rFonts w:ascii="黑体" w:hAnsi="黑体" w:eastAsia="黑体" w:cs="黑体"/>
                <w:spacing w:val="7"/>
                <w:sz w:val="19"/>
                <w:szCs w:val="19"/>
              </w:rPr>
              <w:t>二级指标</w:t>
            </w:r>
          </w:p>
        </w:tc>
        <w:tc>
          <w:tcPr>
            <w:tcW w:w="1507" w:type="dxa"/>
          </w:tcPr>
          <w:p w14:paraId="05EA29DF">
            <w:pPr>
              <w:spacing w:before="69" w:line="227" w:lineRule="auto"/>
              <w:ind w:left="363"/>
              <w:rPr>
                <w:rFonts w:ascii="黑体" w:hAnsi="黑体" w:eastAsia="黑体" w:cs="黑体"/>
                <w:sz w:val="19"/>
                <w:szCs w:val="19"/>
              </w:rPr>
            </w:pPr>
            <w:r>
              <w:rPr>
                <w:rFonts w:ascii="黑体" w:hAnsi="黑体" w:eastAsia="黑体" w:cs="黑体"/>
                <w:spacing w:val="7"/>
                <w:sz w:val="19"/>
                <w:szCs w:val="19"/>
              </w:rPr>
              <w:t>三级指</w:t>
            </w:r>
            <w:r>
              <w:rPr>
                <w:rFonts w:ascii="黑体" w:hAnsi="黑体" w:eastAsia="黑体" w:cs="黑体"/>
                <w:spacing w:val="6"/>
                <w:sz w:val="19"/>
                <w:szCs w:val="19"/>
              </w:rPr>
              <w:t>标</w:t>
            </w:r>
          </w:p>
        </w:tc>
        <w:tc>
          <w:tcPr>
            <w:tcW w:w="1228" w:type="dxa"/>
            <w:vMerge w:val="continue"/>
            <w:tcBorders>
              <w:top w:val="nil"/>
            </w:tcBorders>
          </w:tcPr>
          <w:p w14:paraId="277A4D31">
            <w:pPr>
              <w:rPr>
                <w:rFonts w:ascii="Arial"/>
              </w:rPr>
            </w:pPr>
          </w:p>
        </w:tc>
        <w:tc>
          <w:tcPr>
            <w:tcW w:w="2563" w:type="dxa"/>
            <w:vMerge w:val="continue"/>
            <w:tcBorders>
              <w:top w:val="nil"/>
            </w:tcBorders>
          </w:tcPr>
          <w:p w14:paraId="40C9DB76">
            <w:pPr>
              <w:rPr>
                <w:rFonts w:ascii="Arial"/>
              </w:rPr>
            </w:pPr>
          </w:p>
        </w:tc>
        <w:tc>
          <w:tcPr>
            <w:tcW w:w="3808" w:type="dxa"/>
            <w:vMerge w:val="continue"/>
            <w:tcBorders>
              <w:top w:val="nil"/>
            </w:tcBorders>
          </w:tcPr>
          <w:p w14:paraId="7C74790B">
            <w:pPr>
              <w:rPr>
                <w:rFonts w:ascii="Arial"/>
              </w:rPr>
            </w:pPr>
          </w:p>
        </w:tc>
        <w:tc>
          <w:tcPr>
            <w:tcW w:w="801" w:type="dxa"/>
            <w:vMerge w:val="continue"/>
            <w:tcBorders>
              <w:top w:val="nil"/>
            </w:tcBorders>
          </w:tcPr>
          <w:p w14:paraId="606AD0E3">
            <w:pPr>
              <w:rPr>
                <w:rFonts w:ascii="Arial"/>
              </w:rPr>
            </w:pPr>
          </w:p>
        </w:tc>
        <w:tc>
          <w:tcPr>
            <w:tcW w:w="809" w:type="dxa"/>
            <w:vMerge w:val="continue"/>
            <w:tcBorders>
              <w:top w:val="nil"/>
            </w:tcBorders>
          </w:tcPr>
          <w:p w14:paraId="3330E55E">
            <w:pPr>
              <w:rPr>
                <w:rFonts w:ascii="Arial"/>
              </w:rPr>
            </w:pPr>
          </w:p>
        </w:tc>
      </w:tr>
      <w:tr w14:paraId="2FF415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9" w:hRule="atLeast"/>
        </w:trPr>
        <w:tc>
          <w:tcPr>
            <w:tcW w:w="1713" w:type="dxa"/>
            <w:vMerge w:val="restart"/>
            <w:tcBorders>
              <w:bottom w:val="nil"/>
            </w:tcBorders>
          </w:tcPr>
          <w:p w14:paraId="13ABDC5C">
            <w:pPr>
              <w:rPr>
                <w:rFonts w:ascii="Arial"/>
              </w:rPr>
            </w:pPr>
          </w:p>
        </w:tc>
        <w:tc>
          <w:tcPr>
            <w:tcW w:w="1526" w:type="dxa"/>
            <w:vMerge w:val="restart"/>
            <w:vAlign w:val="center"/>
          </w:tcPr>
          <w:p w14:paraId="40702F8C">
            <w:pPr>
              <w:spacing w:before="61" w:line="312" w:lineRule="exact"/>
              <w:jc w:val="center"/>
              <w:rPr>
                <w:rFonts w:ascii="仿宋" w:hAnsi="仿宋" w:eastAsia="仿宋" w:cs="仿宋"/>
                <w:sz w:val="19"/>
                <w:szCs w:val="19"/>
              </w:rPr>
            </w:pPr>
            <w:r>
              <w:rPr>
                <w:rFonts w:ascii="仿宋" w:hAnsi="仿宋" w:eastAsia="仿宋" w:cs="仿宋"/>
                <w:position w:val="8"/>
                <w:sz w:val="19"/>
                <w:szCs w:val="19"/>
              </w:rPr>
              <w:t>B</w:t>
            </w:r>
            <w:r>
              <w:rPr>
                <w:rFonts w:ascii="仿宋" w:hAnsi="仿宋" w:eastAsia="仿宋" w:cs="仿宋"/>
                <w:spacing w:val="1"/>
                <w:position w:val="8"/>
                <w:sz w:val="19"/>
                <w:szCs w:val="19"/>
              </w:rPr>
              <w:t xml:space="preserve">6 </w:t>
            </w:r>
            <w:r>
              <w:rPr>
                <w:rFonts w:hint="eastAsia" w:ascii="仿宋" w:hAnsi="仿宋" w:eastAsia="仿宋" w:cs="仿宋"/>
                <w:spacing w:val="1"/>
                <w:position w:val="8"/>
                <w:sz w:val="19"/>
                <w:szCs w:val="19"/>
              </w:rPr>
              <w:t>机构建设</w:t>
            </w:r>
          </w:p>
          <w:p w14:paraId="7B9A7DF1">
            <w:pPr>
              <w:spacing w:line="228" w:lineRule="auto"/>
              <w:ind w:left="121"/>
              <w:jc w:val="center"/>
              <w:rPr>
                <w:rFonts w:ascii="仿宋" w:hAnsi="仿宋" w:eastAsia="仿宋" w:cs="仿宋"/>
                <w:sz w:val="19"/>
                <w:szCs w:val="19"/>
              </w:rPr>
            </w:pPr>
            <w:r>
              <w:rPr>
                <w:rFonts w:ascii="仿宋" w:hAnsi="仿宋" w:eastAsia="仿宋" w:cs="仿宋"/>
                <w:spacing w:val="11"/>
                <w:sz w:val="19"/>
                <w:szCs w:val="19"/>
              </w:rPr>
              <w:t>(</w:t>
            </w:r>
            <w:r>
              <w:rPr>
                <w:rFonts w:hint="eastAsia" w:ascii="仿宋" w:hAnsi="仿宋" w:eastAsia="仿宋" w:cs="仿宋"/>
                <w:spacing w:val="11"/>
                <w:sz w:val="19"/>
                <w:szCs w:val="19"/>
              </w:rPr>
              <w:t>6</w:t>
            </w:r>
            <w:r>
              <w:rPr>
                <w:rFonts w:ascii="仿宋" w:hAnsi="仿宋" w:eastAsia="仿宋" w:cs="仿宋"/>
                <w:spacing w:val="11"/>
                <w:sz w:val="19"/>
                <w:szCs w:val="19"/>
              </w:rPr>
              <w:t xml:space="preserve"> 分</w:t>
            </w:r>
            <w:r>
              <w:rPr>
                <w:rFonts w:ascii="仿宋" w:hAnsi="仿宋" w:eastAsia="仿宋" w:cs="仿宋"/>
                <w:spacing w:val="10"/>
                <w:sz w:val="19"/>
                <w:szCs w:val="19"/>
              </w:rPr>
              <w:t>)</w:t>
            </w:r>
          </w:p>
        </w:tc>
        <w:tc>
          <w:tcPr>
            <w:tcW w:w="1507" w:type="dxa"/>
            <w:vAlign w:val="center"/>
          </w:tcPr>
          <w:p w14:paraId="70374A31">
            <w:pPr>
              <w:spacing w:before="62" w:line="313" w:lineRule="auto"/>
              <w:ind w:right="104"/>
              <w:jc w:val="center"/>
              <w:rPr>
                <w:rFonts w:ascii="仿宋" w:hAnsi="仿宋" w:eastAsia="仿宋" w:cs="仿宋"/>
                <w:sz w:val="19"/>
                <w:szCs w:val="19"/>
              </w:rPr>
            </w:pPr>
            <w:r>
              <w:rPr>
                <w:rFonts w:ascii="仿宋" w:hAnsi="仿宋" w:eastAsia="仿宋" w:cs="仿宋"/>
                <w:sz w:val="19"/>
                <w:szCs w:val="19"/>
              </w:rPr>
              <w:t>B</w:t>
            </w:r>
            <w:r>
              <w:rPr>
                <w:rFonts w:ascii="仿宋" w:hAnsi="仿宋" w:eastAsia="仿宋" w:cs="仿宋"/>
                <w:spacing w:val="7"/>
                <w:sz w:val="19"/>
                <w:szCs w:val="19"/>
              </w:rPr>
              <w:t xml:space="preserve">61 </w:t>
            </w:r>
            <w:r>
              <w:rPr>
                <w:rFonts w:hint="eastAsia" w:ascii="仿宋" w:hAnsi="仿宋" w:eastAsia="仿宋" w:cs="仿宋"/>
                <w:spacing w:val="7"/>
                <w:sz w:val="19"/>
                <w:szCs w:val="19"/>
              </w:rPr>
              <w:t>业务学习与培训及时完成率</w:t>
            </w:r>
          </w:p>
        </w:tc>
        <w:tc>
          <w:tcPr>
            <w:tcW w:w="1228" w:type="dxa"/>
          </w:tcPr>
          <w:p w14:paraId="161876A7">
            <w:pPr>
              <w:spacing w:line="306" w:lineRule="auto"/>
              <w:jc w:val="center"/>
              <w:rPr>
                <w:rFonts w:ascii="Arial"/>
              </w:rPr>
            </w:pPr>
          </w:p>
          <w:p w14:paraId="2AF9D1FA">
            <w:pPr>
              <w:spacing w:line="306" w:lineRule="auto"/>
              <w:jc w:val="center"/>
              <w:rPr>
                <w:rFonts w:ascii="Arial"/>
              </w:rPr>
            </w:pPr>
          </w:p>
          <w:p w14:paraId="372930FF">
            <w:pPr>
              <w:spacing w:before="62" w:line="228" w:lineRule="auto"/>
              <w:ind w:left="422"/>
              <w:rPr>
                <w:rFonts w:ascii="仿宋" w:hAnsi="仿宋" w:eastAsia="仿宋" w:cs="仿宋"/>
                <w:sz w:val="19"/>
                <w:szCs w:val="19"/>
              </w:rPr>
            </w:pPr>
            <w:r>
              <w:rPr>
                <w:rFonts w:hint="eastAsia" w:ascii="仿宋" w:hAnsi="仿宋" w:eastAsia="仿宋" w:cs="仿宋"/>
                <w:spacing w:val="4"/>
                <w:sz w:val="19"/>
                <w:szCs w:val="19"/>
              </w:rPr>
              <w:t>100%</w:t>
            </w:r>
          </w:p>
        </w:tc>
        <w:tc>
          <w:tcPr>
            <w:tcW w:w="2563" w:type="dxa"/>
            <w:vAlign w:val="center"/>
          </w:tcPr>
          <w:p w14:paraId="061FD929">
            <w:pPr>
              <w:spacing w:before="62" w:line="310" w:lineRule="auto"/>
              <w:ind w:left="118" w:right="107" w:firstLine="1"/>
              <w:rPr>
                <w:rFonts w:ascii="仿宋" w:hAnsi="仿宋" w:eastAsia="仿宋" w:cs="仿宋"/>
                <w:sz w:val="19"/>
                <w:szCs w:val="19"/>
              </w:rPr>
            </w:pPr>
            <w:r>
              <w:rPr>
                <w:rFonts w:hint="eastAsia" w:ascii="仿宋" w:hAnsi="仿宋" w:eastAsia="仿宋" w:cs="仿宋"/>
                <w:sz w:val="19"/>
                <w:szCs w:val="19"/>
              </w:rPr>
              <w:t>考察部门业务学习和培训及时情况</w:t>
            </w:r>
          </w:p>
        </w:tc>
        <w:tc>
          <w:tcPr>
            <w:tcW w:w="3808" w:type="dxa"/>
          </w:tcPr>
          <w:p w14:paraId="50CDD704">
            <w:pPr>
              <w:spacing w:line="265" w:lineRule="auto"/>
              <w:ind w:left="122" w:right="105" w:firstLine="17"/>
              <w:rPr>
                <w:rFonts w:ascii="仿宋" w:hAnsi="仿宋" w:eastAsia="仿宋" w:cs="仿宋"/>
                <w:sz w:val="19"/>
                <w:szCs w:val="19"/>
              </w:rPr>
            </w:pPr>
            <w:r>
              <w:rPr>
                <w:rFonts w:hint="eastAsia" w:ascii="仿宋" w:hAnsi="仿宋" w:eastAsia="仿宋" w:cs="仿宋"/>
                <w:spacing w:val="8"/>
                <w:sz w:val="19"/>
                <w:szCs w:val="19"/>
              </w:rPr>
              <w:t>业务学习与培训及时完成率= （业务学习开展次数 / 业务学习要求开展次数)  × 100%。业务学习与培训及时完成率达到目标值得对应权重分，每发现不符合规范处扣 20% 权重分扣完即止。</w:t>
            </w:r>
          </w:p>
        </w:tc>
        <w:tc>
          <w:tcPr>
            <w:tcW w:w="801" w:type="dxa"/>
          </w:tcPr>
          <w:p w14:paraId="1AE5811F">
            <w:pPr>
              <w:spacing w:line="324" w:lineRule="auto"/>
              <w:jc w:val="center"/>
              <w:rPr>
                <w:rFonts w:ascii="Arial"/>
              </w:rPr>
            </w:pPr>
          </w:p>
          <w:p w14:paraId="185AC7B0">
            <w:pPr>
              <w:spacing w:line="324" w:lineRule="auto"/>
              <w:jc w:val="center"/>
              <w:rPr>
                <w:rFonts w:ascii="Arial"/>
              </w:rPr>
            </w:pPr>
          </w:p>
          <w:p w14:paraId="66EB7A5B">
            <w:pPr>
              <w:tabs>
                <w:tab w:val="center" w:pos="398"/>
              </w:tabs>
              <w:spacing w:before="62" w:line="185" w:lineRule="auto"/>
              <w:jc w:val="center"/>
              <w:rPr>
                <w:rFonts w:ascii="仿宋" w:hAnsi="仿宋" w:eastAsia="仿宋" w:cs="仿宋"/>
                <w:sz w:val="19"/>
                <w:szCs w:val="19"/>
              </w:rPr>
            </w:pPr>
            <w:r>
              <w:rPr>
                <w:rFonts w:hint="eastAsia" w:ascii="仿宋" w:hAnsi="仿宋" w:eastAsia="仿宋" w:cs="仿宋"/>
                <w:spacing w:val="-2"/>
                <w:sz w:val="19"/>
                <w:szCs w:val="19"/>
              </w:rPr>
              <w:t>2</w:t>
            </w:r>
          </w:p>
        </w:tc>
        <w:tc>
          <w:tcPr>
            <w:tcW w:w="809" w:type="dxa"/>
          </w:tcPr>
          <w:p w14:paraId="3FC78C97">
            <w:pPr>
              <w:spacing w:line="324" w:lineRule="auto"/>
              <w:jc w:val="center"/>
              <w:rPr>
                <w:rFonts w:ascii="Arial"/>
              </w:rPr>
            </w:pPr>
          </w:p>
          <w:p w14:paraId="7AD296DB">
            <w:pPr>
              <w:spacing w:line="324" w:lineRule="auto"/>
              <w:jc w:val="center"/>
              <w:rPr>
                <w:rFonts w:ascii="Arial"/>
              </w:rPr>
            </w:pPr>
          </w:p>
          <w:p w14:paraId="3BB5A882">
            <w:pPr>
              <w:spacing w:before="62" w:line="185" w:lineRule="auto"/>
              <w:jc w:val="center"/>
              <w:rPr>
                <w:rFonts w:ascii="仿宋" w:hAnsi="仿宋" w:eastAsia="仿宋" w:cs="仿宋"/>
                <w:sz w:val="19"/>
                <w:szCs w:val="19"/>
              </w:rPr>
            </w:pPr>
            <w:r>
              <w:rPr>
                <w:rFonts w:hint="eastAsia" w:ascii="仿宋" w:hAnsi="仿宋" w:eastAsia="仿宋" w:cs="仿宋"/>
                <w:sz w:val="19"/>
                <w:szCs w:val="19"/>
              </w:rPr>
              <w:t>2</w:t>
            </w:r>
          </w:p>
        </w:tc>
      </w:tr>
      <w:tr w14:paraId="242C1C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7" w:hRule="atLeast"/>
        </w:trPr>
        <w:tc>
          <w:tcPr>
            <w:tcW w:w="1713" w:type="dxa"/>
            <w:vMerge w:val="continue"/>
            <w:tcBorders>
              <w:top w:val="nil"/>
              <w:bottom w:val="nil"/>
            </w:tcBorders>
          </w:tcPr>
          <w:p w14:paraId="25EB5CE7">
            <w:pPr>
              <w:rPr>
                <w:rFonts w:ascii="Arial"/>
              </w:rPr>
            </w:pPr>
          </w:p>
        </w:tc>
        <w:tc>
          <w:tcPr>
            <w:tcW w:w="1526" w:type="dxa"/>
            <w:vMerge w:val="continue"/>
          </w:tcPr>
          <w:p w14:paraId="537A3DC6">
            <w:pPr>
              <w:rPr>
                <w:rFonts w:ascii="Arial"/>
              </w:rPr>
            </w:pPr>
          </w:p>
        </w:tc>
        <w:tc>
          <w:tcPr>
            <w:tcW w:w="1507" w:type="dxa"/>
            <w:vAlign w:val="center"/>
          </w:tcPr>
          <w:p w14:paraId="7CFE7464">
            <w:pPr>
              <w:spacing w:before="62" w:line="314" w:lineRule="auto"/>
              <w:ind w:right="104"/>
              <w:jc w:val="center"/>
              <w:rPr>
                <w:rFonts w:ascii="仿宋" w:hAnsi="仿宋" w:eastAsia="仿宋" w:cs="仿宋"/>
                <w:sz w:val="19"/>
                <w:szCs w:val="19"/>
              </w:rPr>
            </w:pPr>
            <w:r>
              <w:rPr>
                <w:rFonts w:ascii="仿宋" w:hAnsi="仿宋" w:eastAsia="仿宋" w:cs="仿宋"/>
                <w:sz w:val="19"/>
                <w:szCs w:val="19"/>
              </w:rPr>
              <w:t>B</w:t>
            </w:r>
            <w:r>
              <w:rPr>
                <w:rFonts w:ascii="仿宋" w:hAnsi="仿宋" w:eastAsia="仿宋" w:cs="仿宋"/>
                <w:spacing w:val="7"/>
                <w:sz w:val="19"/>
                <w:szCs w:val="19"/>
              </w:rPr>
              <w:t xml:space="preserve">62 </w:t>
            </w:r>
            <w:r>
              <w:rPr>
                <w:rFonts w:hint="eastAsia" w:ascii="仿宋" w:hAnsi="仿宋" w:eastAsia="仿宋" w:cs="仿宋"/>
                <w:spacing w:val="7"/>
                <w:sz w:val="19"/>
                <w:szCs w:val="19"/>
              </w:rPr>
              <w:t>纪检监察工作有效性</w:t>
            </w:r>
          </w:p>
        </w:tc>
        <w:tc>
          <w:tcPr>
            <w:tcW w:w="1228" w:type="dxa"/>
            <w:vAlign w:val="center"/>
          </w:tcPr>
          <w:p w14:paraId="4EBC323E">
            <w:pPr>
              <w:spacing w:before="62" w:line="185" w:lineRule="auto"/>
              <w:jc w:val="center"/>
              <w:rPr>
                <w:rFonts w:ascii="仿宋" w:hAnsi="仿宋" w:eastAsia="仿宋" w:cs="仿宋"/>
                <w:sz w:val="19"/>
                <w:szCs w:val="19"/>
              </w:rPr>
            </w:pPr>
            <w:r>
              <w:rPr>
                <w:rFonts w:hint="eastAsia" w:ascii="仿宋" w:hAnsi="仿宋" w:eastAsia="仿宋" w:cs="仿宋"/>
                <w:sz w:val="19"/>
                <w:szCs w:val="19"/>
              </w:rPr>
              <w:t>有效</w:t>
            </w:r>
          </w:p>
        </w:tc>
        <w:tc>
          <w:tcPr>
            <w:tcW w:w="2563" w:type="dxa"/>
            <w:vAlign w:val="center"/>
          </w:tcPr>
          <w:p w14:paraId="7B4F4847">
            <w:pPr>
              <w:spacing w:before="54" w:line="293" w:lineRule="auto"/>
              <w:ind w:left="118" w:right="98" w:firstLine="1"/>
              <w:rPr>
                <w:rFonts w:ascii="仿宋" w:hAnsi="仿宋" w:eastAsia="仿宋" w:cs="仿宋"/>
                <w:sz w:val="19"/>
                <w:szCs w:val="19"/>
              </w:rPr>
            </w:pPr>
            <w:r>
              <w:rPr>
                <w:rFonts w:ascii="仿宋" w:hAnsi="仿宋" w:eastAsia="仿宋" w:cs="仿宋"/>
                <w:spacing w:val="6"/>
                <w:sz w:val="19"/>
                <w:szCs w:val="19"/>
              </w:rPr>
              <w:t>考察</w:t>
            </w:r>
            <w:r>
              <w:rPr>
                <w:rFonts w:hint="eastAsia" w:ascii="仿宋" w:hAnsi="仿宋" w:eastAsia="仿宋" w:cs="仿宋"/>
                <w:spacing w:val="6"/>
                <w:sz w:val="19"/>
                <w:szCs w:val="19"/>
              </w:rPr>
              <w:t>纪检监察工作是否有效</w:t>
            </w:r>
            <w:r>
              <w:rPr>
                <w:rFonts w:ascii="仿宋" w:hAnsi="仿宋" w:eastAsia="仿宋" w:cs="仿宋"/>
                <w:spacing w:val="15"/>
                <w:sz w:val="19"/>
                <w:szCs w:val="19"/>
              </w:rPr>
              <w:t>。</w:t>
            </w:r>
          </w:p>
        </w:tc>
        <w:tc>
          <w:tcPr>
            <w:tcW w:w="3808" w:type="dxa"/>
            <w:vAlign w:val="center"/>
          </w:tcPr>
          <w:p w14:paraId="5B862D64">
            <w:pPr>
              <w:spacing w:before="62" w:line="311" w:lineRule="auto"/>
              <w:ind w:right="101"/>
              <w:rPr>
                <w:rFonts w:ascii="仿宋" w:hAnsi="仿宋" w:eastAsia="仿宋" w:cs="仿宋"/>
                <w:sz w:val="19"/>
                <w:szCs w:val="19"/>
              </w:rPr>
            </w:pPr>
            <w:r>
              <w:rPr>
                <w:rFonts w:hint="eastAsia" w:ascii="仿宋" w:hAnsi="仿宋" w:eastAsia="仿宋" w:cs="仿宋"/>
                <w:sz w:val="19"/>
                <w:szCs w:val="19"/>
              </w:rPr>
              <w:t xml:space="preserve">1.按照相关要求开展纪检监察工作；  </w:t>
            </w:r>
          </w:p>
          <w:p w14:paraId="765BFA43">
            <w:pPr>
              <w:spacing w:before="62" w:line="311" w:lineRule="auto"/>
              <w:ind w:right="101"/>
              <w:rPr>
                <w:rFonts w:ascii="仿宋" w:hAnsi="仿宋" w:eastAsia="仿宋" w:cs="仿宋"/>
                <w:sz w:val="19"/>
                <w:szCs w:val="19"/>
              </w:rPr>
            </w:pPr>
            <w:r>
              <w:rPr>
                <w:rFonts w:hint="eastAsia" w:ascii="仿宋" w:hAnsi="仿宋" w:eastAsia="仿宋" w:cs="仿宋"/>
                <w:sz w:val="19"/>
                <w:szCs w:val="19"/>
              </w:rPr>
              <w:t>2.按照要求开展风险防控。</w:t>
            </w:r>
          </w:p>
          <w:p w14:paraId="5BEC991C">
            <w:pPr>
              <w:spacing w:before="62" w:line="311" w:lineRule="auto"/>
              <w:ind w:right="101"/>
              <w:rPr>
                <w:rFonts w:ascii="仿宋" w:hAnsi="仿宋" w:eastAsia="仿宋" w:cs="仿宋"/>
                <w:sz w:val="19"/>
                <w:szCs w:val="19"/>
              </w:rPr>
            </w:pPr>
            <w:r>
              <w:rPr>
                <w:rFonts w:hint="eastAsia" w:ascii="仿宋" w:hAnsi="仿宋" w:eastAsia="仿宋" w:cs="仿宋"/>
                <w:sz w:val="19"/>
                <w:szCs w:val="19"/>
              </w:rPr>
              <w:t>以上 2 项各占 1/2 权重分， 符合得对应权重分，否则不得分。</w:t>
            </w:r>
          </w:p>
        </w:tc>
        <w:tc>
          <w:tcPr>
            <w:tcW w:w="801" w:type="dxa"/>
            <w:vAlign w:val="center"/>
          </w:tcPr>
          <w:p w14:paraId="631134BF">
            <w:pPr>
              <w:spacing w:before="62" w:line="185" w:lineRule="auto"/>
              <w:jc w:val="center"/>
              <w:rPr>
                <w:rFonts w:ascii="仿宋" w:hAnsi="仿宋" w:eastAsia="仿宋" w:cs="仿宋"/>
                <w:sz w:val="19"/>
                <w:szCs w:val="19"/>
              </w:rPr>
            </w:pPr>
            <w:r>
              <w:rPr>
                <w:rFonts w:hint="eastAsia" w:ascii="仿宋" w:hAnsi="仿宋" w:eastAsia="仿宋" w:cs="仿宋"/>
                <w:spacing w:val="-2"/>
                <w:sz w:val="19"/>
                <w:szCs w:val="19"/>
              </w:rPr>
              <w:t>2</w:t>
            </w:r>
          </w:p>
        </w:tc>
        <w:tc>
          <w:tcPr>
            <w:tcW w:w="809" w:type="dxa"/>
            <w:vAlign w:val="center"/>
          </w:tcPr>
          <w:p w14:paraId="634076E6">
            <w:pPr>
              <w:spacing w:before="62" w:line="185" w:lineRule="auto"/>
              <w:jc w:val="center"/>
              <w:rPr>
                <w:rFonts w:ascii="仿宋" w:hAnsi="仿宋" w:eastAsia="仿宋" w:cs="仿宋"/>
                <w:sz w:val="19"/>
                <w:szCs w:val="19"/>
              </w:rPr>
            </w:pPr>
            <w:r>
              <w:rPr>
                <w:rFonts w:hint="eastAsia" w:ascii="仿宋" w:hAnsi="仿宋" w:eastAsia="仿宋" w:cs="仿宋"/>
                <w:spacing w:val="-2"/>
                <w:sz w:val="19"/>
                <w:szCs w:val="19"/>
              </w:rPr>
              <w:t>2</w:t>
            </w:r>
          </w:p>
        </w:tc>
      </w:tr>
      <w:tr w14:paraId="5512AC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7" w:hRule="atLeast"/>
        </w:trPr>
        <w:tc>
          <w:tcPr>
            <w:tcW w:w="1713" w:type="dxa"/>
            <w:vMerge w:val="continue"/>
            <w:tcBorders>
              <w:top w:val="nil"/>
              <w:bottom w:val="nil"/>
            </w:tcBorders>
          </w:tcPr>
          <w:p w14:paraId="2F8787C9">
            <w:pPr>
              <w:rPr>
                <w:rFonts w:ascii="Arial"/>
              </w:rPr>
            </w:pPr>
          </w:p>
        </w:tc>
        <w:tc>
          <w:tcPr>
            <w:tcW w:w="1526" w:type="dxa"/>
            <w:vMerge w:val="continue"/>
          </w:tcPr>
          <w:p w14:paraId="3E8E6C58">
            <w:pPr>
              <w:rPr>
                <w:rFonts w:ascii="Arial"/>
              </w:rPr>
            </w:pPr>
          </w:p>
        </w:tc>
        <w:tc>
          <w:tcPr>
            <w:tcW w:w="1507" w:type="dxa"/>
          </w:tcPr>
          <w:p w14:paraId="4E9962E6">
            <w:pPr>
              <w:spacing w:before="62" w:line="314" w:lineRule="auto"/>
              <w:ind w:left="117" w:right="104" w:hanging="11"/>
              <w:rPr>
                <w:rFonts w:ascii="仿宋" w:hAnsi="仿宋" w:eastAsia="仿宋" w:cs="仿宋"/>
                <w:sz w:val="19"/>
                <w:szCs w:val="19"/>
              </w:rPr>
            </w:pPr>
            <w:r>
              <w:rPr>
                <w:rFonts w:hint="eastAsia" w:ascii="仿宋" w:hAnsi="仿宋" w:eastAsia="仿宋" w:cs="仿宋"/>
                <w:sz w:val="19"/>
                <w:szCs w:val="19"/>
              </w:rPr>
              <w:t>B63 组织建设工作及时完成率</w:t>
            </w:r>
          </w:p>
        </w:tc>
        <w:tc>
          <w:tcPr>
            <w:tcW w:w="1228" w:type="dxa"/>
            <w:vAlign w:val="center"/>
          </w:tcPr>
          <w:p w14:paraId="796E9474">
            <w:pPr>
              <w:spacing w:before="62" w:line="185" w:lineRule="auto"/>
              <w:ind w:left="431"/>
              <w:rPr>
                <w:rFonts w:ascii="仿宋" w:hAnsi="仿宋" w:eastAsia="仿宋" w:cs="仿宋"/>
                <w:sz w:val="19"/>
                <w:szCs w:val="19"/>
              </w:rPr>
            </w:pPr>
            <w:r>
              <w:rPr>
                <w:rFonts w:hint="eastAsia" w:ascii="仿宋" w:hAnsi="仿宋" w:eastAsia="仿宋" w:cs="仿宋"/>
                <w:sz w:val="19"/>
                <w:szCs w:val="19"/>
              </w:rPr>
              <w:t>100%</w:t>
            </w:r>
          </w:p>
        </w:tc>
        <w:tc>
          <w:tcPr>
            <w:tcW w:w="2563" w:type="dxa"/>
            <w:vAlign w:val="center"/>
          </w:tcPr>
          <w:p w14:paraId="4B61C52B">
            <w:pPr>
              <w:spacing w:before="54" w:line="293" w:lineRule="auto"/>
              <w:ind w:left="118" w:right="98" w:firstLine="1"/>
              <w:rPr>
                <w:rFonts w:ascii="仿宋" w:hAnsi="仿宋" w:eastAsia="仿宋" w:cs="仿宋"/>
                <w:spacing w:val="6"/>
                <w:sz w:val="19"/>
                <w:szCs w:val="19"/>
              </w:rPr>
            </w:pPr>
            <w:r>
              <w:rPr>
                <w:rFonts w:hint="eastAsia" w:ascii="仿宋" w:hAnsi="仿宋" w:eastAsia="仿宋" w:cs="仿宋"/>
                <w:spacing w:val="6"/>
                <w:sz w:val="19"/>
                <w:szCs w:val="19"/>
              </w:rPr>
              <w:t>考察组织工作及时完成情况</w:t>
            </w:r>
          </w:p>
        </w:tc>
        <w:tc>
          <w:tcPr>
            <w:tcW w:w="3808" w:type="dxa"/>
            <w:vAlign w:val="center"/>
          </w:tcPr>
          <w:p w14:paraId="0187AC00">
            <w:pPr>
              <w:spacing w:before="62" w:line="311" w:lineRule="auto"/>
              <w:ind w:left="119" w:right="101" w:firstLine="2"/>
              <w:rPr>
                <w:rFonts w:ascii="仿宋" w:hAnsi="仿宋" w:eastAsia="仿宋" w:cs="仿宋"/>
                <w:spacing w:val="24"/>
                <w:sz w:val="19"/>
                <w:szCs w:val="19"/>
              </w:rPr>
            </w:pPr>
            <w:r>
              <w:rPr>
                <w:rFonts w:hint="eastAsia" w:ascii="仿宋" w:hAnsi="仿宋" w:eastAsia="仿宋" w:cs="仿宋"/>
                <w:spacing w:val="8"/>
                <w:sz w:val="19"/>
                <w:szCs w:val="19"/>
              </w:rPr>
              <w:t>按照组织建设工作序时进度完成得满分，否则酌情得分。</w:t>
            </w:r>
          </w:p>
        </w:tc>
        <w:tc>
          <w:tcPr>
            <w:tcW w:w="801" w:type="dxa"/>
            <w:vAlign w:val="center"/>
          </w:tcPr>
          <w:p w14:paraId="3282CFD1">
            <w:pPr>
              <w:spacing w:before="62" w:line="185" w:lineRule="auto"/>
              <w:jc w:val="center"/>
              <w:rPr>
                <w:rFonts w:ascii="仿宋" w:hAnsi="仿宋" w:eastAsia="仿宋" w:cs="仿宋"/>
                <w:spacing w:val="-2"/>
                <w:sz w:val="19"/>
                <w:szCs w:val="19"/>
              </w:rPr>
            </w:pPr>
            <w:r>
              <w:rPr>
                <w:rFonts w:hint="eastAsia" w:ascii="仿宋" w:hAnsi="仿宋" w:eastAsia="仿宋" w:cs="仿宋"/>
                <w:spacing w:val="-2"/>
                <w:sz w:val="19"/>
                <w:szCs w:val="19"/>
              </w:rPr>
              <w:t>2</w:t>
            </w:r>
          </w:p>
        </w:tc>
        <w:tc>
          <w:tcPr>
            <w:tcW w:w="809" w:type="dxa"/>
            <w:vAlign w:val="center"/>
          </w:tcPr>
          <w:p w14:paraId="0937D1A1">
            <w:pPr>
              <w:spacing w:before="62" w:line="185" w:lineRule="auto"/>
              <w:jc w:val="center"/>
              <w:rPr>
                <w:rFonts w:ascii="仿宋" w:hAnsi="仿宋" w:eastAsia="仿宋" w:cs="仿宋"/>
                <w:spacing w:val="-2"/>
                <w:sz w:val="19"/>
                <w:szCs w:val="19"/>
              </w:rPr>
            </w:pPr>
            <w:r>
              <w:rPr>
                <w:rFonts w:hint="eastAsia" w:ascii="仿宋" w:hAnsi="仿宋" w:eastAsia="仿宋" w:cs="仿宋"/>
                <w:spacing w:val="-2"/>
                <w:sz w:val="19"/>
                <w:szCs w:val="19"/>
              </w:rPr>
              <w:t>2</w:t>
            </w:r>
          </w:p>
        </w:tc>
      </w:tr>
      <w:tr w14:paraId="5FE861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4" w:hRule="atLeast"/>
        </w:trPr>
        <w:tc>
          <w:tcPr>
            <w:tcW w:w="1713" w:type="dxa"/>
            <w:vMerge w:val="continue"/>
            <w:tcBorders>
              <w:top w:val="nil"/>
              <w:bottom w:val="nil"/>
            </w:tcBorders>
          </w:tcPr>
          <w:p w14:paraId="5314D796">
            <w:pPr>
              <w:rPr>
                <w:rFonts w:ascii="Arial"/>
              </w:rPr>
            </w:pPr>
          </w:p>
        </w:tc>
        <w:tc>
          <w:tcPr>
            <w:tcW w:w="1526" w:type="dxa"/>
            <w:vMerge w:val="restart"/>
            <w:tcBorders>
              <w:bottom w:val="nil"/>
            </w:tcBorders>
          </w:tcPr>
          <w:p w14:paraId="58526926">
            <w:pPr>
              <w:spacing w:line="279" w:lineRule="auto"/>
              <w:rPr>
                <w:rFonts w:ascii="Arial"/>
              </w:rPr>
            </w:pPr>
          </w:p>
          <w:p w14:paraId="5A695B30">
            <w:pPr>
              <w:spacing w:line="279" w:lineRule="auto"/>
              <w:rPr>
                <w:rFonts w:ascii="Arial"/>
              </w:rPr>
            </w:pPr>
          </w:p>
          <w:p w14:paraId="6D2010BA">
            <w:pPr>
              <w:spacing w:line="279" w:lineRule="auto"/>
              <w:rPr>
                <w:rFonts w:ascii="Arial"/>
              </w:rPr>
            </w:pPr>
          </w:p>
          <w:p w14:paraId="71F211F5">
            <w:pPr>
              <w:spacing w:line="279" w:lineRule="auto"/>
              <w:rPr>
                <w:rFonts w:ascii="Arial"/>
              </w:rPr>
            </w:pPr>
          </w:p>
          <w:p w14:paraId="77C6CB5D">
            <w:pPr>
              <w:spacing w:line="280" w:lineRule="auto"/>
              <w:rPr>
                <w:rFonts w:ascii="Arial"/>
              </w:rPr>
            </w:pPr>
          </w:p>
          <w:p w14:paraId="1096B424">
            <w:pPr>
              <w:spacing w:before="62" w:line="303" w:lineRule="auto"/>
              <w:ind w:left="118" w:right="107" w:hanging="12"/>
              <w:rPr>
                <w:rFonts w:ascii="仿宋" w:hAnsi="仿宋" w:eastAsia="仿宋" w:cs="仿宋"/>
                <w:sz w:val="19"/>
                <w:szCs w:val="19"/>
              </w:rPr>
            </w:pPr>
            <w:r>
              <w:rPr>
                <w:rFonts w:ascii="仿宋" w:hAnsi="仿宋" w:eastAsia="仿宋" w:cs="仿宋"/>
                <w:sz w:val="19"/>
                <w:szCs w:val="19"/>
              </w:rPr>
              <w:t>B</w:t>
            </w:r>
            <w:r>
              <w:rPr>
                <w:rFonts w:ascii="仿宋" w:hAnsi="仿宋" w:eastAsia="仿宋" w:cs="仿宋"/>
                <w:spacing w:val="12"/>
                <w:sz w:val="19"/>
                <w:szCs w:val="19"/>
              </w:rPr>
              <w:t>7</w:t>
            </w:r>
            <w:r>
              <w:rPr>
                <w:rFonts w:ascii="仿宋" w:hAnsi="仿宋" w:eastAsia="仿宋" w:cs="仿宋"/>
                <w:spacing w:val="10"/>
                <w:sz w:val="19"/>
                <w:szCs w:val="19"/>
              </w:rPr>
              <w:t xml:space="preserve"> 绩效管</w:t>
            </w:r>
            <w:r>
              <w:rPr>
                <w:rFonts w:ascii="仿宋" w:hAnsi="仿宋" w:eastAsia="仿宋" w:cs="仿宋"/>
                <w:sz w:val="19"/>
                <w:szCs w:val="19"/>
              </w:rPr>
              <w:t>理</w:t>
            </w:r>
          </w:p>
          <w:p w14:paraId="63677031">
            <w:pPr>
              <w:spacing w:line="228" w:lineRule="auto"/>
              <w:ind w:left="121"/>
              <w:jc w:val="center"/>
              <w:rPr>
                <w:rFonts w:ascii="仿宋" w:hAnsi="仿宋" w:eastAsia="仿宋" w:cs="仿宋"/>
                <w:sz w:val="19"/>
                <w:szCs w:val="19"/>
              </w:rPr>
            </w:pPr>
            <w:r>
              <w:rPr>
                <w:rFonts w:ascii="仿宋" w:hAnsi="仿宋" w:eastAsia="仿宋" w:cs="仿宋"/>
                <w:spacing w:val="11"/>
                <w:sz w:val="19"/>
                <w:szCs w:val="19"/>
              </w:rPr>
              <w:t>(4 分</w:t>
            </w:r>
            <w:r>
              <w:rPr>
                <w:rFonts w:ascii="仿宋" w:hAnsi="仿宋" w:eastAsia="仿宋" w:cs="仿宋"/>
                <w:spacing w:val="10"/>
                <w:sz w:val="19"/>
                <w:szCs w:val="19"/>
              </w:rPr>
              <w:t>)</w:t>
            </w:r>
          </w:p>
        </w:tc>
        <w:tc>
          <w:tcPr>
            <w:tcW w:w="1507" w:type="dxa"/>
          </w:tcPr>
          <w:p w14:paraId="465C4419">
            <w:pPr>
              <w:spacing w:line="461" w:lineRule="auto"/>
              <w:rPr>
                <w:rFonts w:ascii="Arial"/>
              </w:rPr>
            </w:pPr>
          </w:p>
          <w:p w14:paraId="030A3C9C">
            <w:pPr>
              <w:spacing w:before="62" w:line="314" w:lineRule="auto"/>
              <w:ind w:left="121" w:right="104" w:hanging="15"/>
              <w:rPr>
                <w:rFonts w:ascii="仿宋" w:hAnsi="仿宋" w:eastAsia="仿宋" w:cs="仿宋"/>
                <w:sz w:val="19"/>
                <w:szCs w:val="19"/>
              </w:rPr>
            </w:pPr>
            <w:r>
              <w:rPr>
                <w:rFonts w:ascii="仿宋" w:hAnsi="仿宋" w:eastAsia="仿宋" w:cs="仿宋"/>
                <w:sz w:val="19"/>
                <w:szCs w:val="19"/>
              </w:rPr>
              <w:t>B</w:t>
            </w:r>
            <w:r>
              <w:rPr>
                <w:rFonts w:ascii="仿宋" w:hAnsi="仿宋" w:eastAsia="仿宋" w:cs="仿宋"/>
                <w:spacing w:val="7"/>
                <w:sz w:val="19"/>
                <w:szCs w:val="19"/>
              </w:rPr>
              <w:t>71 组织管理</w:t>
            </w:r>
            <w:r>
              <w:rPr>
                <w:rFonts w:ascii="仿宋" w:hAnsi="仿宋" w:eastAsia="仿宋" w:cs="仿宋"/>
                <w:spacing w:val="1"/>
                <w:sz w:val="19"/>
                <w:szCs w:val="19"/>
              </w:rPr>
              <w:t>情况</w:t>
            </w:r>
          </w:p>
        </w:tc>
        <w:tc>
          <w:tcPr>
            <w:tcW w:w="1228" w:type="dxa"/>
          </w:tcPr>
          <w:p w14:paraId="688490F5">
            <w:pPr>
              <w:spacing w:line="307" w:lineRule="auto"/>
              <w:rPr>
                <w:rFonts w:ascii="Arial"/>
              </w:rPr>
            </w:pPr>
          </w:p>
          <w:p w14:paraId="7EC1737B">
            <w:pPr>
              <w:spacing w:line="308" w:lineRule="auto"/>
              <w:rPr>
                <w:rFonts w:ascii="Arial"/>
              </w:rPr>
            </w:pPr>
          </w:p>
          <w:p w14:paraId="55EFAA6E">
            <w:pPr>
              <w:spacing w:before="62" w:line="230" w:lineRule="auto"/>
              <w:ind w:left="422"/>
              <w:rPr>
                <w:rFonts w:ascii="仿宋" w:hAnsi="仿宋" w:eastAsia="仿宋" w:cs="仿宋"/>
                <w:sz w:val="19"/>
                <w:szCs w:val="19"/>
              </w:rPr>
            </w:pPr>
            <w:r>
              <w:rPr>
                <w:rFonts w:ascii="仿宋" w:hAnsi="仿宋" w:eastAsia="仿宋" w:cs="仿宋"/>
                <w:spacing w:val="4"/>
                <w:sz w:val="19"/>
                <w:szCs w:val="19"/>
              </w:rPr>
              <w:t>规范</w:t>
            </w:r>
          </w:p>
        </w:tc>
        <w:tc>
          <w:tcPr>
            <w:tcW w:w="2563" w:type="dxa"/>
          </w:tcPr>
          <w:p w14:paraId="214069D4">
            <w:pPr>
              <w:spacing w:before="212" w:line="309" w:lineRule="auto"/>
              <w:ind w:left="118" w:right="105" w:firstLine="1"/>
              <w:jc w:val="left"/>
              <w:rPr>
                <w:rFonts w:ascii="仿宋" w:hAnsi="仿宋" w:eastAsia="仿宋" w:cs="仿宋"/>
                <w:sz w:val="19"/>
                <w:szCs w:val="19"/>
              </w:rPr>
            </w:pPr>
            <w:r>
              <w:rPr>
                <w:rFonts w:ascii="仿宋" w:hAnsi="仿宋" w:eastAsia="仿宋" w:cs="仿宋"/>
                <w:spacing w:val="22"/>
                <w:sz w:val="19"/>
                <w:szCs w:val="19"/>
              </w:rPr>
              <w:t>考察部门是否建立</w:t>
            </w:r>
            <w:r>
              <w:rPr>
                <w:rFonts w:hint="eastAsia" w:ascii="仿宋" w:hAnsi="仿宋" w:eastAsia="仿宋" w:cs="仿宋"/>
                <w:spacing w:val="22"/>
                <w:sz w:val="19"/>
                <w:szCs w:val="19"/>
              </w:rPr>
              <w:t>完</w:t>
            </w:r>
            <w:r>
              <w:rPr>
                <w:rFonts w:ascii="仿宋" w:hAnsi="仿宋" w:eastAsia="仿宋" w:cs="仿宋"/>
                <w:spacing w:val="22"/>
                <w:sz w:val="19"/>
                <w:szCs w:val="19"/>
              </w:rPr>
              <w:t>善</w:t>
            </w:r>
            <w:r>
              <w:rPr>
                <w:rFonts w:ascii="仿宋" w:hAnsi="仿宋" w:eastAsia="仿宋" w:cs="仿宋"/>
                <w:spacing w:val="20"/>
                <w:sz w:val="19"/>
                <w:szCs w:val="19"/>
              </w:rPr>
              <w:t>的</w:t>
            </w:r>
            <w:r>
              <w:rPr>
                <w:rFonts w:ascii="仿宋" w:hAnsi="仿宋" w:eastAsia="仿宋" w:cs="仿宋"/>
                <w:spacing w:val="-5"/>
                <w:sz w:val="19"/>
                <w:szCs w:val="19"/>
              </w:rPr>
              <w:t>考</w:t>
            </w:r>
            <w:r>
              <w:rPr>
                <w:rFonts w:ascii="仿宋" w:hAnsi="仿宋" w:eastAsia="仿宋" w:cs="仿宋"/>
                <w:spacing w:val="-3"/>
                <w:sz w:val="19"/>
                <w:szCs w:val="19"/>
              </w:rPr>
              <w:t>核指标体系，如： 制度建</w:t>
            </w:r>
            <w:r>
              <w:rPr>
                <w:rFonts w:ascii="仿宋" w:hAnsi="仿宋" w:eastAsia="仿宋" w:cs="仿宋"/>
                <w:spacing w:val="8"/>
                <w:sz w:val="19"/>
                <w:szCs w:val="19"/>
              </w:rPr>
              <w:t>设</w:t>
            </w:r>
            <w:r>
              <w:rPr>
                <w:rFonts w:ascii="仿宋" w:hAnsi="仿宋" w:eastAsia="仿宋" w:cs="仿宋"/>
                <w:spacing w:val="5"/>
                <w:sz w:val="19"/>
                <w:szCs w:val="19"/>
              </w:rPr>
              <w:t>、</w:t>
            </w:r>
            <w:r>
              <w:rPr>
                <w:rFonts w:ascii="仿宋" w:hAnsi="仿宋" w:eastAsia="仿宋" w:cs="仿宋"/>
                <w:spacing w:val="4"/>
                <w:sz w:val="19"/>
                <w:szCs w:val="19"/>
              </w:rPr>
              <w:t>职能配置、分行业的指</w:t>
            </w:r>
            <w:r>
              <w:rPr>
                <w:rFonts w:ascii="仿宋" w:hAnsi="仿宋" w:eastAsia="仿宋" w:cs="仿宋"/>
                <w:spacing w:val="6"/>
                <w:sz w:val="19"/>
                <w:szCs w:val="19"/>
              </w:rPr>
              <w:t>标</w:t>
            </w:r>
            <w:r>
              <w:rPr>
                <w:rFonts w:ascii="仿宋" w:hAnsi="仿宋" w:eastAsia="仿宋" w:cs="仿宋"/>
                <w:spacing w:val="5"/>
                <w:sz w:val="19"/>
                <w:szCs w:val="19"/>
              </w:rPr>
              <w:t>体系等。</w:t>
            </w:r>
          </w:p>
        </w:tc>
        <w:tc>
          <w:tcPr>
            <w:tcW w:w="3808" w:type="dxa"/>
          </w:tcPr>
          <w:p w14:paraId="4065A8CB">
            <w:pPr>
              <w:spacing w:before="57" w:line="303" w:lineRule="auto"/>
              <w:ind w:left="115" w:right="107" w:firstLine="12"/>
              <w:rPr>
                <w:rFonts w:ascii="仿宋" w:hAnsi="仿宋" w:eastAsia="仿宋" w:cs="仿宋"/>
                <w:sz w:val="19"/>
                <w:szCs w:val="19"/>
              </w:rPr>
            </w:pPr>
            <w:r>
              <w:rPr>
                <w:rFonts w:ascii="仿宋" w:hAnsi="仿宋" w:eastAsia="仿宋" w:cs="仿宋"/>
                <w:spacing w:val="10"/>
                <w:sz w:val="19"/>
                <w:szCs w:val="19"/>
              </w:rPr>
              <w:t>1.</w:t>
            </w:r>
            <w:r>
              <w:rPr>
                <w:rFonts w:ascii="仿宋" w:hAnsi="仿宋" w:eastAsia="仿宋" w:cs="仿宋"/>
                <w:spacing w:val="9"/>
                <w:sz w:val="19"/>
                <w:szCs w:val="19"/>
              </w:rPr>
              <w:t>部</w:t>
            </w:r>
            <w:r>
              <w:rPr>
                <w:rFonts w:ascii="仿宋" w:hAnsi="仿宋" w:eastAsia="仿宋" w:cs="仿宋"/>
                <w:spacing w:val="5"/>
                <w:sz w:val="19"/>
                <w:szCs w:val="19"/>
              </w:rPr>
              <w:t>门预算绩效管理制定有相应的制度；</w:t>
            </w:r>
            <w:r>
              <w:rPr>
                <w:rFonts w:ascii="仿宋" w:hAnsi="仿宋" w:eastAsia="仿宋" w:cs="仿宋"/>
                <w:spacing w:val="26"/>
                <w:sz w:val="19"/>
                <w:szCs w:val="19"/>
              </w:rPr>
              <w:t>2</w:t>
            </w:r>
            <w:r>
              <w:rPr>
                <w:rFonts w:ascii="仿宋" w:hAnsi="仿宋" w:eastAsia="仿宋" w:cs="仿宋"/>
                <w:spacing w:val="19"/>
                <w:sz w:val="19"/>
                <w:szCs w:val="19"/>
              </w:rPr>
              <w:t>.部门针对部门职能及专项资金方向建</w:t>
            </w:r>
            <w:r>
              <w:rPr>
                <w:rFonts w:ascii="仿宋" w:hAnsi="仿宋" w:eastAsia="仿宋" w:cs="仿宋"/>
                <w:spacing w:val="9"/>
                <w:sz w:val="19"/>
                <w:szCs w:val="19"/>
              </w:rPr>
              <w:t>立</w:t>
            </w:r>
            <w:r>
              <w:rPr>
                <w:rFonts w:ascii="仿宋" w:hAnsi="仿宋" w:eastAsia="仿宋" w:cs="仿宋"/>
                <w:spacing w:val="8"/>
                <w:sz w:val="19"/>
                <w:szCs w:val="19"/>
              </w:rPr>
              <w:t>相应的行业指标体系。</w:t>
            </w:r>
          </w:p>
          <w:p w14:paraId="1430D10E">
            <w:pPr>
              <w:spacing w:line="265" w:lineRule="auto"/>
              <w:ind w:left="126" w:right="103" w:firstLine="13"/>
              <w:rPr>
                <w:rFonts w:ascii="仿宋" w:hAnsi="仿宋" w:eastAsia="仿宋" w:cs="仿宋"/>
                <w:sz w:val="19"/>
                <w:szCs w:val="19"/>
              </w:rPr>
            </w:pPr>
            <w:r>
              <w:rPr>
                <w:rFonts w:ascii="仿宋" w:hAnsi="仿宋" w:eastAsia="仿宋" w:cs="仿宋"/>
                <w:spacing w:val="-8"/>
                <w:sz w:val="19"/>
                <w:szCs w:val="19"/>
              </w:rPr>
              <w:t>以</w:t>
            </w:r>
            <w:r>
              <w:rPr>
                <w:rFonts w:ascii="仿宋" w:hAnsi="仿宋" w:eastAsia="仿宋" w:cs="仿宋"/>
                <w:spacing w:val="-6"/>
                <w:sz w:val="19"/>
                <w:szCs w:val="19"/>
              </w:rPr>
              <w:t>上 2 项各占 1/2 权重分， 符合得对应权</w:t>
            </w:r>
            <w:r>
              <w:rPr>
                <w:rFonts w:ascii="仿宋" w:hAnsi="仿宋" w:eastAsia="仿宋" w:cs="仿宋"/>
                <w:spacing w:val="5"/>
                <w:sz w:val="19"/>
                <w:szCs w:val="19"/>
              </w:rPr>
              <w:t>重分，否则不得分</w:t>
            </w:r>
            <w:r>
              <w:rPr>
                <w:rFonts w:ascii="仿宋" w:hAnsi="仿宋" w:eastAsia="仿宋" w:cs="仿宋"/>
                <w:spacing w:val="4"/>
                <w:sz w:val="19"/>
                <w:szCs w:val="19"/>
              </w:rPr>
              <w:t>。</w:t>
            </w:r>
          </w:p>
        </w:tc>
        <w:tc>
          <w:tcPr>
            <w:tcW w:w="801" w:type="dxa"/>
          </w:tcPr>
          <w:p w14:paraId="683B1901">
            <w:pPr>
              <w:spacing w:line="325" w:lineRule="auto"/>
              <w:jc w:val="center"/>
              <w:rPr>
                <w:rFonts w:ascii="Arial"/>
              </w:rPr>
            </w:pPr>
          </w:p>
          <w:p w14:paraId="1CD6CE4F">
            <w:pPr>
              <w:spacing w:line="326" w:lineRule="auto"/>
              <w:jc w:val="center"/>
              <w:rPr>
                <w:rFonts w:ascii="Arial"/>
              </w:rPr>
            </w:pPr>
          </w:p>
          <w:p w14:paraId="08493526">
            <w:pPr>
              <w:spacing w:before="62" w:line="185" w:lineRule="auto"/>
              <w:ind w:left="372"/>
              <w:rPr>
                <w:rFonts w:ascii="仿宋" w:hAnsi="仿宋" w:eastAsia="仿宋" w:cs="仿宋"/>
                <w:sz w:val="19"/>
                <w:szCs w:val="19"/>
              </w:rPr>
            </w:pPr>
            <w:r>
              <w:rPr>
                <w:rFonts w:hint="eastAsia" w:ascii="仿宋" w:hAnsi="仿宋" w:eastAsia="仿宋" w:cs="仿宋"/>
                <w:sz w:val="19"/>
                <w:szCs w:val="19"/>
              </w:rPr>
              <w:t>2</w:t>
            </w:r>
          </w:p>
        </w:tc>
        <w:tc>
          <w:tcPr>
            <w:tcW w:w="809" w:type="dxa"/>
          </w:tcPr>
          <w:p w14:paraId="22304946">
            <w:pPr>
              <w:spacing w:line="326" w:lineRule="auto"/>
              <w:jc w:val="center"/>
              <w:rPr>
                <w:rFonts w:ascii="Arial"/>
              </w:rPr>
            </w:pPr>
          </w:p>
          <w:p w14:paraId="7DE95F3E">
            <w:pPr>
              <w:spacing w:line="326" w:lineRule="auto"/>
              <w:jc w:val="center"/>
              <w:rPr>
                <w:rFonts w:ascii="Arial"/>
              </w:rPr>
            </w:pPr>
          </w:p>
          <w:p w14:paraId="687CB5DC">
            <w:pPr>
              <w:spacing w:before="62" w:line="184" w:lineRule="auto"/>
              <w:jc w:val="center"/>
              <w:rPr>
                <w:rFonts w:ascii="仿宋" w:hAnsi="仿宋" w:eastAsia="仿宋" w:cs="仿宋"/>
                <w:sz w:val="19"/>
                <w:szCs w:val="19"/>
              </w:rPr>
            </w:pPr>
            <w:r>
              <w:rPr>
                <w:rFonts w:hint="eastAsia" w:ascii="仿宋" w:hAnsi="仿宋" w:eastAsia="仿宋" w:cs="仿宋"/>
                <w:spacing w:val="3"/>
                <w:sz w:val="19"/>
                <w:szCs w:val="19"/>
              </w:rPr>
              <w:t>1.5</w:t>
            </w:r>
          </w:p>
        </w:tc>
      </w:tr>
      <w:tr w14:paraId="3A0E50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92" w:hRule="atLeast"/>
        </w:trPr>
        <w:tc>
          <w:tcPr>
            <w:tcW w:w="1713" w:type="dxa"/>
            <w:vMerge w:val="continue"/>
            <w:tcBorders>
              <w:top w:val="nil"/>
            </w:tcBorders>
          </w:tcPr>
          <w:p w14:paraId="280E3033">
            <w:pPr>
              <w:rPr>
                <w:rFonts w:ascii="Arial"/>
              </w:rPr>
            </w:pPr>
          </w:p>
        </w:tc>
        <w:tc>
          <w:tcPr>
            <w:tcW w:w="1526" w:type="dxa"/>
            <w:vMerge w:val="continue"/>
            <w:tcBorders>
              <w:top w:val="nil"/>
            </w:tcBorders>
          </w:tcPr>
          <w:p w14:paraId="432CBAAC">
            <w:pPr>
              <w:rPr>
                <w:rFonts w:ascii="Arial"/>
              </w:rPr>
            </w:pPr>
          </w:p>
        </w:tc>
        <w:tc>
          <w:tcPr>
            <w:tcW w:w="1507" w:type="dxa"/>
          </w:tcPr>
          <w:p w14:paraId="0DB7D74B">
            <w:pPr>
              <w:spacing w:line="257" w:lineRule="auto"/>
              <w:rPr>
                <w:rFonts w:ascii="Arial"/>
              </w:rPr>
            </w:pPr>
          </w:p>
          <w:p w14:paraId="61916229">
            <w:pPr>
              <w:spacing w:line="257" w:lineRule="auto"/>
              <w:rPr>
                <w:rFonts w:ascii="Arial"/>
              </w:rPr>
            </w:pPr>
          </w:p>
          <w:p w14:paraId="173A2B5E">
            <w:pPr>
              <w:spacing w:line="258" w:lineRule="auto"/>
              <w:rPr>
                <w:rFonts w:ascii="Arial"/>
              </w:rPr>
            </w:pPr>
          </w:p>
          <w:p w14:paraId="6975455C">
            <w:pPr>
              <w:spacing w:before="62" w:line="314" w:lineRule="auto"/>
              <w:ind w:left="116" w:right="104" w:hanging="10"/>
              <w:rPr>
                <w:rFonts w:ascii="仿宋" w:hAnsi="仿宋" w:eastAsia="仿宋" w:cs="仿宋"/>
                <w:sz w:val="19"/>
                <w:szCs w:val="19"/>
              </w:rPr>
            </w:pPr>
            <w:r>
              <w:rPr>
                <w:rFonts w:ascii="仿宋" w:hAnsi="仿宋" w:eastAsia="仿宋" w:cs="仿宋"/>
                <w:sz w:val="19"/>
                <w:szCs w:val="19"/>
              </w:rPr>
              <w:t>B</w:t>
            </w:r>
            <w:r>
              <w:rPr>
                <w:rFonts w:ascii="仿宋" w:hAnsi="仿宋" w:eastAsia="仿宋" w:cs="仿宋"/>
                <w:spacing w:val="7"/>
                <w:sz w:val="19"/>
                <w:szCs w:val="19"/>
              </w:rPr>
              <w:t>72 绩效工 作开</w:t>
            </w:r>
            <w:r>
              <w:rPr>
                <w:rFonts w:ascii="仿宋" w:hAnsi="仿宋" w:eastAsia="仿宋" w:cs="仿宋"/>
                <w:spacing w:val="6"/>
                <w:sz w:val="19"/>
                <w:szCs w:val="19"/>
              </w:rPr>
              <w:t>展情况</w:t>
            </w:r>
          </w:p>
        </w:tc>
        <w:tc>
          <w:tcPr>
            <w:tcW w:w="1228" w:type="dxa"/>
          </w:tcPr>
          <w:p w14:paraId="6EE788BA">
            <w:pPr>
              <w:spacing w:line="308" w:lineRule="auto"/>
              <w:rPr>
                <w:rFonts w:ascii="Arial"/>
              </w:rPr>
            </w:pPr>
          </w:p>
          <w:p w14:paraId="1B8FA7BC">
            <w:pPr>
              <w:spacing w:line="309" w:lineRule="auto"/>
              <w:rPr>
                <w:rFonts w:ascii="Arial"/>
              </w:rPr>
            </w:pPr>
          </w:p>
          <w:p w14:paraId="1AAE9ED6">
            <w:pPr>
              <w:spacing w:line="309" w:lineRule="auto"/>
              <w:rPr>
                <w:rFonts w:ascii="Arial"/>
              </w:rPr>
            </w:pPr>
          </w:p>
          <w:p w14:paraId="22169E1F">
            <w:pPr>
              <w:spacing w:before="62" w:line="230" w:lineRule="auto"/>
              <w:ind w:left="422"/>
              <w:rPr>
                <w:rFonts w:ascii="仿宋" w:hAnsi="仿宋" w:eastAsia="仿宋" w:cs="仿宋"/>
                <w:sz w:val="19"/>
                <w:szCs w:val="19"/>
              </w:rPr>
            </w:pPr>
            <w:r>
              <w:rPr>
                <w:rFonts w:ascii="仿宋" w:hAnsi="仿宋" w:eastAsia="仿宋" w:cs="仿宋"/>
                <w:spacing w:val="4"/>
                <w:sz w:val="19"/>
                <w:szCs w:val="19"/>
              </w:rPr>
              <w:t>规范</w:t>
            </w:r>
          </w:p>
        </w:tc>
        <w:tc>
          <w:tcPr>
            <w:tcW w:w="2563" w:type="dxa"/>
          </w:tcPr>
          <w:p w14:paraId="51133633">
            <w:pPr>
              <w:spacing w:line="308" w:lineRule="auto"/>
              <w:rPr>
                <w:rFonts w:ascii="Arial"/>
              </w:rPr>
            </w:pPr>
          </w:p>
          <w:p w14:paraId="0C97476C">
            <w:pPr>
              <w:spacing w:before="61" w:line="307" w:lineRule="auto"/>
              <w:ind w:left="119" w:right="105"/>
              <w:rPr>
                <w:rFonts w:ascii="仿宋" w:hAnsi="仿宋" w:eastAsia="仿宋" w:cs="仿宋"/>
                <w:sz w:val="19"/>
                <w:szCs w:val="19"/>
              </w:rPr>
            </w:pPr>
            <w:r>
              <w:rPr>
                <w:rFonts w:ascii="仿宋" w:hAnsi="仿宋" w:eastAsia="仿宋" w:cs="仿宋"/>
                <w:spacing w:val="22"/>
                <w:sz w:val="19"/>
                <w:szCs w:val="19"/>
              </w:rPr>
              <w:t>考察绩效评价工作开展</w:t>
            </w:r>
            <w:r>
              <w:rPr>
                <w:rFonts w:ascii="仿宋" w:hAnsi="仿宋" w:eastAsia="仿宋" w:cs="仿宋"/>
                <w:spacing w:val="20"/>
                <w:sz w:val="19"/>
                <w:szCs w:val="19"/>
              </w:rPr>
              <w:t>情</w:t>
            </w:r>
            <w:r>
              <w:rPr>
                <w:rFonts w:ascii="仿宋" w:hAnsi="仿宋" w:eastAsia="仿宋" w:cs="仿宋"/>
                <w:spacing w:val="8"/>
                <w:sz w:val="19"/>
                <w:szCs w:val="19"/>
              </w:rPr>
              <w:t>况</w:t>
            </w:r>
            <w:r>
              <w:rPr>
                <w:rFonts w:ascii="仿宋" w:hAnsi="仿宋" w:eastAsia="仿宋" w:cs="仿宋"/>
                <w:spacing w:val="4"/>
                <w:sz w:val="19"/>
                <w:szCs w:val="19"/>
              </w:rPr>
              <w:t>，如对单个项目是否开展</w:t>
            </w:r>
            <w:r>
              <w:rPr>
                <w:rFonts w:ascii="仿宋" w:hAnsi="仿宋" w:eastAsia="仿宋" w:cs="仿宋"/>
                <w:spacing w:val="8"/>
                <w:sz w:val="19"/>
                <w:szCs w:val="19"/>
              </w:rPr>
              <w:t>年</w:t>
            </w:r>
            <w:r>
              <w:rPr>
                <w:rFonts w:ascii="仿宋" w:hAnsi="仿宋" w:eastAsia="仿宋" w:cs="仿宋"/>
                <w:spacing w:val="4"/>
                <w:sz w:val="19"/>
                <w:szCs w:val="19"/>
              </w:rPr>
              <w:t>初绩效目标申报、事前评</w:t>
            </w:r>
            <w:r>
              <w:rPr>
                <w:rFonts w:ascii="仿宋" w:hAnsi="仿宋" w:eastAsia="仿宋" w:cs="仿宋"/>
                <w:spacing w:val="8"/>
                <w:sz w:val="19"/>
                <w:szCs w:val="19"/>
              </w:rPr>
              <w:t>估</w:t>
            </w:r>
            <w:r>
              <w:rPr>
                <w:rFonts w:ascii="仿宋" w:hAnsi="仿宋" w:eastAsia="仿宋" w:cs="仿宋"/>
                <w:spacing w:val="4"/>
                <w:sz w:val="19"/>
                <w:szCs w:val="19"/>
              </w:rPr>
              <w:t>、跟踪评价、事后评价等</w:t>
            </w:r>
            <w:r>
              <w:rPr>
                <w:rFonts w:ascii="仿宋" w:hAnsi="仿宋" w:eastAsia="仿宋" w:cs="仿宋"/>
                <w:spacing w:val="-4"/>
                <w:sz w:val="19"/>
                <w:szCs w:val="19"/>
              </w:rPr>
              <w:t>工</w:t>
            </w:r>
            <w:r>
              <w:rPr>
                <w:rFonts w:ascii="仿宋" w:hAnsi="仿宋" w:eastAsia="仿宋" w:cs="仿宋"/>
                <w:spacing w:val="-3"/>
                <w:sz w:val="19"/>
                <w:szCs w:val="19"/>
              </w:rPr>
              <w:t>作。</w:t>
            </w:r>
          </w:p>
        </w:tc>
        <w:tc>
          <w:tcPr>
            <w:tcW w:w="3808" w:type="dxa"/>
          </w:tcPr>
          <w:p w14:paraId="7F80E17F">
            <w:pPr>
              <w:spacing w:line="265" w:lineRule="auto"/>
              <w:ind w:left="126" w:right="103" w:firstLine="13"/>
              <w:rPr>
                <w:rFonts w:ascii="仿宋" w:hAnsi="仿宋" w:eastAsia="仿宋" w:cs="仿宋"/>
                <w:sz w:val="19"/>
                <w:szCs w:val="19"/>
              </w:rPr>
            </w:pPr>
            <w:r>
              <w:rPr>
                <w:rFonts w:hint="eastAsia" w:ascii="仿宋" w:hAnsi="仿宋" w:eastAsia="仿宋" w:cs="仿宋"/>
                <w:sz w:val="19"/>
                <w:szCs w:val="19"/>
              </w:rPr>
              <w:t xml:space="preserve">1.部门按要求开展目标管理；           </w:t>
            </w:r>
            <w:r>
              <w:rPr>
                <w:rFonts w:hint="eastAsia" w:ascii="仿宋" w:hAnsi="仿宋" w:eastAsia="仿宋" w:cs="仿宋"/>
                <w:sz w:val="19"/>
                <w:szCs w:val="19"/>
              </w:rPr>
              <w:br w:type="textWrapping"/>
            </w:r>
            <w:r>
              <w:rPr>
                <w:rFonts w:hint="eastAsia" w:ascii="仿宋" w:hAnsi="仿宋" w:eastAsia="仿宋" w:cs="仿宋"/>
                <w:sz w:val="19"/>
                <w:szCs w:val="19"/>
              </w:rPr>
              <w:t xml:space="preserve">2.部门按要求开展跟踪评价；        </w:t>
            </w:r>
            <w:r>
              <w:rPr>
                <w:rFonts w:hint="eastAsia" w:ascii="仿宋" w:hAnsi="仿宋" w:eastAsia="仿宋" w:cs="仿宋"/>
                <w:sz w:val="19"/>
                <w:szCs w:val="19"/>
              </w:rPr>
              <w:br w:type="textWrapping"/>
            </w:r>
            <w:r>
              <w:rPr>
                <w:rFonts w:hint="eastAsia" w:ascii="仿宋" w:hAnsi="仿宋" w:eastAsia="仿宋" w:cs="仿宋"/>
                <w:sz w:val="19"/>
                <w:szCs w:val="19"/>
              </w:rPr>
              <w:t xml:space="preserve">3.部门按要求开展自评价；             </w:t>
            </w:r>
            <w:r>
              <w:rPr>
                <w:rFonts w:hint="eastAsia" w:ascii="仿宋" w:hAnsi="仿宋" w:eastAsia="仿宋" w:cs="仿宋"/>
                <w:sz w:val="19"/>
                <w:szCs w:val="19"/>
              </w:rPr>
              <w:br w:type="textWrapping"/>
            </w:r>
            <w:r>
              <w:rPr>
                <w:rFonts w:hint="eastAsia" w:ascii="仿宋" w:hAnsi="仿宋" w:eastAsia="仿宋" w:cs="仿宋"/>
                <w:sz w:val="19"/>
                <w:szCs w:val="19"/>
              </w:rPr>
              <w:t>4.部门对于绩效评价结果进行相应的整改落实。</w:t>
            </w:r>
          </w:p>
          <w:p w14:paraId="71EBFBBC">
            <w:pPr>
              <w:spacing w:line="265" w:lineRule="auto"/>
              <w:ind w:left="126" w:right="103" w:firstLine="13"/>
              <w:rPr>
                <w:rFonts w:ascii="仿宋" w:hAnsi="仿宋" w:eastAsia="仿宋" w:cs="仿宋"/>
                <w:sz w:val="19"/>
                <w:szCs w:val="19"/>
              </w:rPr>
            </w:pPr>
            <w:r>
              <w:rPr>
                <w:rFonts w:hint="eastAsia" w:ascii="仿宋" w:hAnsi="仿宋" w:eastAsia="仿宋" w:cs="仿宋"/>
                <w:sz w:val="19"/>
                <w:szCs w:val="19"/>
              </w:rPr>
              <w:t>以上 4 项各占 1/4 权重分， 符合得对应权 重分，否则不得分。</w:t>
            </w:r>
          </w:p>
        </w:tc>
        <w:tc>
          <w:tcPr>
            <w:tcW w:w="801" w:type="dxa"/>
          </w:tcPr>
          <w:p w14:paraId="2BF35E65">
            <w:pPr>
              <w:rPr>
                <w:rFonts w:ascii="Arial"/>
              </w:rPr>
            </w:pPr>
          </w:p>
          <w:p w14:paraId="09762E7E">
            <w:pPr>
              <w:spacing w:line="241" w:lineRule="auto"/>
              <w:rPr>
                <w:rFonts w:ascii="Arial"/>
              </w:rPr>
            </w:pPr>
          </w:p>
          <w:p w14:paraId="53446C2F">
            <w:pPr>
              <w:spacing w:line="241" w:lineRule="auto"/>
              <w:rPr>
                <w:rFonts w:ascii="Arial"/>
              </w:rPr>
            </w:pPr>
          </w:p>
          <w:p w14:paraId="649ADABD">
            <w:pPr>
              <w:spacing w:line="241" w:lineRule="auto"/>
              <w:rPr>
                <w:rFonts w:ascii="Arial"/>
              </w:rPr>
            </w:pPr>
          </w:p>
          <w:p w14:paraId="112931D8">
            <w:pPr>
              <w:spacing w:before="62" w:line="184" w:lineRule="auto"/>
              <w:ind w:left="359"/>
              <w:rPr>
                <w:rFonts w:ascii="仿宋" w:hAnsi="仿宋" w:eastAsia="仿宋" w:cs="仿宋"/>
                <w:sz w:val="19"/>
                <w:szCs w:val="19"/>
              </w:rPr>
            </w:pPr>
            <w:r>
              <w:rPr>
                <w:rFonts w:ascii="仿宋" w:hAnsi="仿宋" w:eastAsia="仿宋" w:cs="仿宋"/>
                <w:sz w:val="19"/>
                <w:szCs w:val="19"/>
              </w:rPr>
              <w:t>2</w:t>
            </w:r>
          </w:p>
        </w:tc>
        <w:tc>
          <w:tcPr>
            <w:tcW w:w="809" w:type="dxa"/>
          </w:tcPr>
          <w:p w14:paraId="261D8F45">
            <w:pPr>
              <w:rPr>
                <w:rFonts w:ascii="Arial"/>
              </w:rPr>
            </w:pPr>
          </w:p>
          <w:p w14:paraId="46771362">
            <w:pPr>
              <w:rPr>
                <w:rFonts w:ascii="Arial"/>
              </w:rPr>
            </w:pPr>
          </w:p>
          <w:p w14:paraId="147468A2">
            <w:pPr>
              <w:spacing w:line="241" w:lineRule="auto"/>
              <w:rPr>
                <w:rFonts w:ascii="Arial"/>
              </w:rPr>
            </w:pPr>
          </w:p>
          <w:p w14:paraId="5B8CB4A9">
            <w:pPr>
              <w:spacing w:line="241" w:lineRule="auto"/>
              <w:rPr>
                <w:rFonts w:ascii="Arial"/>
              </w:rPr>
            </w:pPr>
          </w:p>
          <w:p w14:paraId="6B6B8711">
            <w:pPr>
              <w:spacing w:before="62" w:line="185" w:lineRule="auto"/>
              <w:ind w:left="373"/>
              <w:rPr>
                <w:rFonts w:ascii="仿宋" w:hAnsi="仿宋" w:eastAsia="仿宋" w:cs="仿宋"/>
                <w:sz w:val="19"/>
                <w:szCs w:val="19"/>
              </w:rPr>
            </w:pPr>
            <w:r>
              <w:rPr>
                <w:rFonts w:ascii="仿宋" w:hAnsi="仿宋" w:eastAsia="仿宋" w:cs="仿宋"/>
                <w:sz w:val="19"/>
                <w:szCs w:val="19"/>
              </w:rPr>
              <w:t>1</w:t>
            </w:r>
            <w:r>
              <w:rPr>
                <w:rFonts w:hint="eastAsia" w:ascii="仿宋" w:hAnsi="仿宋" w:eastAsia="仿宋" w:cs="仿宋"/>
                <w:sz w:val="19"/>
                <w:szCs w:val="19"/>
              </w:rPr>
              <w:t>.5</w:t>
            </w:r>
          </w:p>
        </w:tc>
      </w:tr>
    </w:tbl>
    <w:p w14:paraId="007995F7"/>
    <w:p w14:paraId="12941744"/>
    <w:p w14:paraId="072BA0D7"/>
    <w:p w14:paraId="7B55E935"/>
    <w:p w14:paraId="12843628"/>
    <w:p w14:paraId="3EA20C3F"/>
    <w:p w14:paraId="5D181140"/>
    <w:tbl>
      <w:tblPr>
        <w:tblStyle w:val="10"/>
        <w:tblW w:w="1395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13"/>
        <w:gridCol w:w="1526"/>
        <w:gridCol w:w="1507"/>
        <w:gridCol w:w="1228"/>
        <w:gridCol w:w="2563"/>
        <w:gridCol w:w="3808"/>
        <w:gridCol w:w="801"/>
        <w:gridCol w:w="809"/>
      </w:tblGrid>
      <w:tr w14:paraId="3041F5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jc w:val="center"/>
        </w:trPr>
        <w:tc>
          <w:tcPr>
            <w:tcW w:w="4746" w:type="dxa"/>
            <w:gridSpan w:val="3"/>
          </w:tcPr>
          <w:p w14:paraId="42B6CE0A">
            <w:pPr>
              <w:spacing w:before="59" w:line="229" w:lineRule="auto"/>
              <w:ind w:left="2176"/>
              <w:rPr>
                <w:rFonts w:ascii="黑体" w:hAnsi="黑体" w:eastAsia="黑体" w:cs="黑体"/>
                <w:sz w:val="19"/>
                <w:szCs w:val="19"/>
              </w:rPr>
            </w:pPr>
            <w:r>
              <w:rPr>
                <w:rFonts w:ascii="黑体" w:hAnsi="黑体" w:eastAsia="黑体" w:cs="黑体"/>
                <w:spacing w:val="7"/>
                <w:sz w:val="19"/>
                <w:szCs w:val="19"/>
              </w:rPr>
              <w:t>指</w:t>
            </w:r>
            <w:r>
              <w:rPr>
                <w:rFonts w:ascii="黑体" w:hAnsi="黑体" w:eastAsia="黑体" w:cs="黑体"/>
                <w:spacing w:val="6"/>
                <w:sz w:val="19"/>
                <w:szCs w:val="19"/>
              </w:rPr>
              <w:t>标</w:t>
            </w:r>
          </w:p>
        </w:tc>
        <w:tc>
          <w:tcPr>
            <w:tcW w:w="1228" w:type="dxa"/>
            <w:vMerge w:val="restart"/>
            <w:tcBorders>
              <w:bottom w:val="nil"/>
            </w:tcBorders>
          </w:tcPr>
          <w:p w14:paraId="0A4F40EB">
            <w:pPr>
              <w:spacing w:before="234" w:line="230" w:lineRule="auto"/>
              <w:ind w:left="313"/>
              <w:rPr>
                <w:rFonts w:ascii="黑体" w:hAnsi="黑体" w:eastAsia="黑体" w:cs="黑体"/>
                <w:sz w:val="19"/>
                <w:szCs w:val="19"/>
              </w:rPr>
            </w:pPr>
            <w:r>
              <w:rPr>
                <w:rFonts w:ascii="黑体" w:hAnsi="黑体" w:eastAsia="黑体" w:cs="黑体"/>
                <w:spacing w:val="9"/>
                <w:sz w:val="19"/>
                <w:szCs w:val="19"/>
              </w:rPr>
              <w:t>标</w:t>
            </w:r>
            <w:r>
              <w:rPr>
                <w:rFonts w:ascii="黑体" w:hAnsi="黑体" w:eastAsia="黑体" w:cs="黑体"/>
                <w:spacing w:val="8"/>
                <w:sz w:val="19"/>
                <w:szCs w:val="19"/>
              </w:rPr>
              <w:t>准值</w:t>
            </w:r>
          </w:p>
        </w:tc>
        <w:tc>
          <w:tcPr>
            <w:tcW w:w="2563" w:type="dxa"/>
            <w:vMerge w:val="restart"/>
            <w:tcBorders>
              <w:bottom w:val="nil"/>
            </w:tcBorders>
          </w:tcPr>
          <w:p w14:paraId="5D70B4E5">
            <w:pPr>
              <w:spacing w:before="234" w:line="228" w:lineRule="auto"/>
              <w:ind w:left="886"/>
              <w:rPr>
                <w:rFonts w:ascii="黑体" w:hAnsi="黑体" w:eastAsia="黑体" w:cs="黑体"/>
                <w:sz w:val="19"/>
                <w:szCs w:val="19"/>
              </w:rPr>
            </w:pPr>
            <w:r>
              <w:rPr>
                <w:rFonts w:ascii="黑体" w:hAnsi="黑体" w:eastAsia="黑体" w:cs="黑体"/>
                <w:spacing w:val="8"/>
                <w:sz w:val="19"/>
                <w:szCs w:val="19"/>
              </w:rPr>
              <w:t>指标解释</w:t>
            </w:r>
          </w:p>
        </w:tc>
        <w:tc>
          <w:tcPr>
            <w:tcW w:w="3808" w:type="dxa"/>
            <w:vMerge w:val="restart"/>
            <w:tcBorders>
              <w:bottom w:val="nil"/>
            </w:tcBorders>
          </w:tcPr>
          <w:p w14:paraId="67E2032B">
            <w:pPr>
              <w:spacing w:before="234" w:line="228" w:lineRule="auto"/>
              <w:ind w:left="1510"/>
              <w:rPr>
                <w:rFonts w:ascii="黑体" w:hAnsi="黑体" w:eastAsia="黑体" w:cs="黑体"/>
                <w:sz w:val="19"/>
                <w:szCs w:val="19"/>
              </w:rPr>
            </w:pPr>
            <w:r>
              <w:rPr>
                <w:rFonts w:ascii="黑体" w:hAnsi="黑体" w:eastAsia="黑体" w:cs="黑体"/>
                <w:spacing w:val="8"/>
                <w:sz w:val="19"/>
                <w:szCs w:val="19"/>
              </w:rPr>
              <w:t>评价标准</w:t>
            </w:r>
          </w:p>
        </w:tc>
        <w:tc>
          <w:tcPr>
            <w:tcW w:w="801" w:type="dxa"/>
            <w:vMerge w:val="restart"/>
            <w:tcBorders>
              <w:bottom w:val="nil"/>
            </w:tcBorders>
          </w:tcPr>
          <w:p w14:paraId="35BEBF71">
            <w:pPr>
              <w:spacing w:before="234" w:line="230" w:lineRule="auto"/>
              <w:ind w:left="207"/>
              <w:rPr>
                <w:rFonts w:ascii="黑体" w:hAnsi="黑体" w:eastAsia="黑体" w:cs="黑体"/>
                <w:sz w:val="19"/>
                <w:szCs w:val="19"/>
              </w:rPr>
            </w:pPr>
            <w:r>
              <w:rPr>
                <w:rFonts w:ascii="黑体" w:hAnsi="黑体" w:eastAsia="黑体" w:cs="黑体"/>
                <w:spacing w:val="7"/>
                <w:sz w:val="19"/>
                <w:szCs w:val="19"/>
              </w:rPr>
              <w:t>权重</w:t>
            </w:r>
          </w:p>
        </w:tc>
        <w:tc>
          <w:tcPr>
            <w:tcW w:w="809" w:type="dxa"/>
            <w:vMerge w:val="restart"/>
            <w:tcBorders>
              <w:bottom w:val="nil"/>
            </w:tcBorders>
          </w:tcPr>
          <w:p w14:paraId="08C1AF96">
            <w:pPr>
              <w:spacing w:before="234" w:line="228" w:lineRule="auto"/>
              <w:ind w:left="210"/>
              <w:rPr>
                <w:rFonts w:ascii="黑体" w:hAnsi="黑体" w:eastAsia="黑体" w:cs="黑体"/>
                <w:sz w:val="19"/>
                <w:szCs w:val="19"/>
              </w:rPr>
            </w:pPr>
            <w:r>
              <w:rPr>
                <w:rFonts w:ascii="黑体" w:hAnsi="黑体" w:eastAsia="黑体" w:cs="黑体"/>
                <w:spacing w:val="6"/>
                <w:sz w:val="19"/>
                <w:szCs w:val="19"/>
              </w:rPr>
              <w:t>得分</w:t>
            </w:r>
          </w:p>
        </w:tc>
      </w:tr>
      <w:tr w14:paraId="50127C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jc w:val="center"/>
        </w:trPr>
        <w:tc>
          <w:tcPr>
            <w:tcW w:w="1713" w:type="dxa"/>
          </w:tcPr>
          <w:p w14:paraId="246A93D4">
            <w:pPr>
              <w:spacing w:before="69" w:line="227" w:lineRule="auto"/>
              <w:ind w:left="464"/>
              <w:rPr>
                <w:rFonts w:ascii="黑体" w:hAnsi="黑体" w:eastAsia="黑体" w:cs="黑体"/>
                <w:sz w:val="19"/>
                <w:szCs w:val="19"/>
              </w:rPr>
            </w:pPr>
            <w:r>
              <w:rPr>
                <w:rFonts w:ascii="黑体" w:hAnsi="黑体" w:eastAsia="黑体" w:cs="黑体"/>
                <w:spacing w:val="7"/>
                <w:sz w:val="19"/>
                <w:szCs w:val="19"/>
              </w:rPr>
              <w:t>一级指标</w:t>
            </w:r>
          </w:p>
        </w:tc>
        <w:tc>
          <w:tcPr>
            <w:tcW w:w="1526" w:type="dxa"/>
          </w:tcPr>
          <w:p w14:paraId="03C86002">
            <w:pPr>
              <w:spacing w:before="69" w:line="227" w:lineRule="auto"/>
              <w:ind w:left="369"/>
              <w:rPr>
                <w:rFonts w:ascii="黑体" w:hAnsi="黑体" w:eastAsia="黑体" w:cs="黑体"/>
                <w:sz w:val="19"/>
                <w:szCs w:val="19"/>
              </w:rPr>
            </w:pPr>
            <w:r>
              <w:rPr>
                <w:rFonts w:ascii="黑体" w:hAnsi="黑体" w:eastAsia="黑体" w:cs="黑体"/>
                <w:spacing w:val="7"/>
                <w:sz w:val="19"/>
                <w:szCs w:val="19"/>
              </w:rPr>
              <w:t>二级指标</w:t>
            </w:r>
          </w:p>
        </w:tc>
        <w:tc>
          <w:tcPr>
            <w:tcW w:w="1507" w:type="dxa"/>
          </w:tcPr>
          <w:p w14:paraId="3F1CBC38">
            <w:pPr>
              <w:spacing w:before="69" w:line="227" w:lineRule="auto"/>
              <w:ind w:left="363"/>
              <w:rPr>
                <w:rFonts w:ascii="黑体" w:hAnsi="黑体" w:eastAsia="黑体" w:cs="黑体"/>
                <w:sz w:val="19"/>
                <w:szCs w:val="19"/>
              </w:rPr>
            </w:pPr>
            <w:r>
              <w:rPr>
                <w:rFonts w:ascii="黑体" w:hAnsi="黑体" w:eastAsia="黑体" w:cs="黑体"/>
                <w:spacing w:val="7"/>
                <w:sz w:val="19"/>
                <w:szCs w:val="19"/>
              </w:rPr>
              <w:t>三级指</w:t>
            </w:r>
            <w:r>
              <w:rPr>
                <w:rFonts w:ascii="黑体" w:hAnsi="黑体" w:eastAsia="黑体" w:cs="黑体"/>
                <w:spacing w:val="6"/>
                <w:sz w:val="19"/>
                <w:szCs w:val="19"/>
              </w:rPr>
              <w:t>标</w:t>
            </w:r>
          </w:p>
        </w:tc>
        <w:tc>
          <w:tcPr>
            <w:tcW w:w="1228" w:type="dxa"/>
            <w:vMerge w:val="continue"/>
            <w:tcBorders>
              <w:top w:val="nil"/>
            </w:tcBorders>
          </w:tcPr>
          <w:p w14:paraId="5B48739A">
            <w:pPr>
              <w:rPr>
                <w:rFonts w:ascii="Arial"/>
              </w:rPr>
            </w:pPr>
          </w:p>
        </w:tc>
        <w:tc>
          <w:tcPr>
            <w:tcW w:w="2563" w:type="dxa"/>
            <w:vMerge w:val="continue"/>
            <w:tcBorders>
              <w:top w:val="nil"/>
            </w:tcBorders>
          </w:tcPr>
          <w:p w14:paraId="09B0C5FA">
            <w:pPr>
              <w:rPr>
                <w:rFonts w:ascii="Arial"/>
              </w:rPr>
            </w:pPr>
          </w:p>
        </w:tc>
        <w:tc>
          <w:tcPr>
            <w:tcW w:w="3808" w:type="dxa"/>
            <w:vMerge w:val="continue"/>
            <w:tcBorders>
              <w:top w:val="nil"/>
            </w:tcBorders>
          </w:tcPr>
          <w:p w14:paraId="2351DEC1">
            <w:pPr>
              <w:rPr>
                <w:rFonts w:ascii="Arial"/>
              </w:rPr>
            </w:pPr>
          </w:p>
        </w:tc>
        <w:tc>
          <w:tcPr>
            <w:tcW w:w="801" w:type="dxa"/>
            <w:vMerge w:val="continue"/>
            <w:tcBorders>
              <w:top w:val="nil"/>
            </w:tcBorders>
          </w:tcPr>
          <w:p w14:paraId="2FB2CCE8">
            <w:pPr>
              <w:rPr>
                <w:rFonts w:ascii="Arial"/>
              </w:rPr>
            </w:pPr>
          </w:p>
        </w:tc>
        <w:tc>
          <w:tcPr>
            <w:tcW w:w="809" w:type="dxa"/>
            <w:vMerge w:val="continue"/>
            <w:tcBorders>
              <w:top w:val="nil"/>
            </w:tcBorders>
          </w:tcPr>
          <w:p w14:paraId="30185C90">
            <w:pPr>
              <w:rPr>
                <w:rFonts w:ascii="Arial"/>
              </w:rPr>
            </w:pPr>
          </w:p>
        </w:tc>
      </w:tr>
      <w:tr w14:paraId="46751B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1713" w:type="dxa"/>
            <w:vMerge w:val="restart"/>
          </w:tcPr>
          <w:p w14:paraId="333085D7">
            <w:pPr>
              <w:spacing w:line="260" w:lineRule="auto"/>
              <w:rPr>
                <w:rFonts w:ascii="Arial"/>
              </w:rPr>
            </w:pPr>
          </w:p>
          <w:p w14:paraId="0D6E3369">
            <w:pPr>
              <w:spacing w:line="260" w:lineRule="auto"/>
              <w:rPr>
                <w:rFonts w:ascii="Arial"/>
              </w:rPr>
            </w:pPr>
          </w:p>
          <w:p w14:paraId="32217E76">
            <w:pPr>
              <w:spacing w:line="260" w:lineRule="auto"/>
              <w:rPr>
                <w:rFonts w:ascii="Arial"/>
              </w:rPr>
            </w:pPr>
          </w:p>
          <w:p w14:paraId="2A38A516">
            <w:pPr>
              <w:spacing w:line="260" w:lineRule="auto"/>
              <w:rPr>
                <w:rFonts w:ascii="Arial"/>
              </w:rPr>
            </w:pPr>
          </w:p>
          <w:p w14:paraId="4AE70ADC">
            <w:pPr>
              <w:spacing w:line="260" w:lineRule="auto"/>
              <w:rPr>
                <w:rFonts w:ascii="Arial"/>
              </w:rPr>
            </w:pPr>
          </w:p>
          <w:p w14:paraId="195A6DD6">
            <w:pPr>
              <w:spacing w:line="260" w:lineRule="auto"/>
              <w:rPr>
                <w:rFonts w:ascii="Arial"/>
              </w:rPr>
            </w:pPr>
          </w:p>
          <w:p w14:paraId="2F548544">
            <w:pPr>
              <w:spacing w:line="261" w:lineRule="auto"/>
              <w:rPr>
                <w:rFonts w:ascii="Arial"/>
              </w:rPr>
            </w:pPr>
          </w:p>
          <w:p w14:paraId="0F194999">
            <w:pPr>
              <w:spacing w:line="261" w:lineRule="auto"/>
              <w:rPr>
                <w:rFonts w:ascii="Arial"/>
              </w:rPr>
            </w:pPr>
          </w:p>
          <w:p w14:paraId="25D570E7">
            <w:pPr>
              <w:spacing w:line="261" w:lineRule="auto"/>
              <w:rPr>
                <w:rFonts w:ascii="Arial"/>
              </w:rPr>
            </w:pPr>
          </w:p>
          <w:p w14:paraId="03912567">
            <w:pPr>
              <w:spacing w:line="261" w:lineRule="auto"/>
              <w:rPr>
                <w:rFonts w:ascii="Arial"/>
              </w:rPr>
            </w:pPr>
          </w:p>
          <w:p w14:paraId="2887FF0F">
            <w:pPr>
              <w:spacing w:before="61" w:line="312" w:lineRule="exact"/>
              <w:ind w:left="113"/>
              <w:jc w:val="center"/>
              <w:rPr>
                <w:rFonts w:ascii="仿宋" w:hAnsi="仿宋" w:eastAsia="仿宋" w:cs="仿宋"/>
                <w:sz w:val="19"/>
                <w:szCs w:val="19"/>
              </w:rPr>
            </w:pPr>
            <w:r>
              <w:rPr>
                <w:rFonts w:ascii="仿宋" w:hAnsi="仿宋" w:eastAsia="仿宋" w:cs="仿宋"/>
                <w:position w:val="8"/>
                <w:sz w:val="19"/>
                <w:szCs w:val="19"/>
              </w:rPr>
              <w:t>C</w:t>
            </w:r>
            <w:r>
              <w:rPr>
                <w:rFonts w:ascii="仿宋" w:hAnsi="仿宋" w:eastAsia="仿宋" w:cs="仿宋"/>
                <w:spacing w:val="-1"/>
                <w:position w:val="8"/>
                <w:sz w:val="19"/>
                <w:szCs w:val="19"/>
              </w:rPr>
              <w:t xml:space="preserve"> 履职</w:t>
            </w:r>
          </w:p>
          <w:p w14:paraId="7EBB6677">
            <w:pPr>
              <w:spacing w:line="228" w:lineRule="auto"/>
              <w:ind w:left="125"/>
              <w:jc w:val="center"/>
              <w:rPr>
                <w:rFonts w:ascii="仿宋" w:hAnsi="仿宋" w:eastAsia="仿宋" w:cs="仿宋"/>
                <w:sz w:val="19"/>
                <w:szCs w:val="19"/>
              </w:rPr>
            </w:pPr>
            <w:r>
              <w:rPr>
                <w:rFonts w:ascii="仿宋" w:hAnsi="仿宋" w:eastAsia="仿宋" w:cs="仿宋"/>
                <w:spacing w:val="10"/>
                <w:sz w:val="19"/>
                <w:szCs w:val="19"/>
              </w:rPr>
              <w:t>(</w:t>
            </w:r>
            <w:r>
              <w:rPr>
                <w:rFonts w:hint="eastAsia" w:ascii="仿宋" w:hAnsi="仿宋" w:eastAsia="仿宋" w:cs="仿宋"/>
                <w:spacing w:val="10"/>
                <w:sz w:val="19"/>
                <w:szCs w:val="19"/>
              </w:rPr>
              <w:t>14</w:t>
            </w:r>
            <w:r>
              <w:rPr>
                <w:rFonts w:ascii="仿宋" w:hAnsi="仿宋" w:eastAsia="仿宋" w:cs="仿宋"/>
                <w:spacing w:val="10"/>
                <w:sz w:val="19"/>
                <w:szCs w:val="19"/>
              </w:rPr>
              <w:t xml:space="preserve"> 分</w:t>
            </w:r>
            <w:r>
              <w:rPr>
                <w:rFonts w:ascii="仿宋" w:hAnsi="仿宋" w:eastAsia="仿宋" w:cs="仿宋"/>
                <w:spacing w:val="9"/>
                <w:sz w:val="19"/>
                <w:szCs w:val="19"/>
              </w:rPr>
              <w:t>)</w:t>
            </w:r>
          </w:p>
        </w:tc>
        <w:tc>
          <w:tcPr>
            <w:tcW w:w="1526" w:type="dxa"/>
            <w:vMerge w:val="restart"/>
          </w:tcPr>
          <w:p w14:paraId="41D21598">
            <w:pPr>
              <w:spacing w:line="260" w:lineRule="auto"/>
              <w:rPr>
                <w:rFonts w:ascii="Arial"/>
              </w:rPr>
            </w:pPr>
          </w:p>
          <w:p w14:paraId="544AB9D9">
            <w:pPr>
              <w:spacing w:line="260" w:lineRule="auto"/>
              <w:rPr>
                <w:rFonts w:ascii="Arial"/>
              </w:rPr>
            </w:pPr>
          </w:p>
          <w:p w14:paraId="3A79A02E">
            <w:pPr>
              <w:spacing w:line="261" w:lineRule="auto"/>
              <w:rPr>
                <w:rFonts w:ascii="Arial"/>
              </w:rPr>
            </w:pPr>
          </w:p>
          <w:p w14:paraId="7907D95D">
            <w:pPr>
              <w:spacing w:before="62" w:line="303" w:lineRule="auto"/>
              <w:ind w:left="118" w:right="107" w:hanging="9"/>
              <w:jc w:val="center"/>
              <w:rPr>
                <w:rFonts w:ascii="仿宋" w:hAnsi="仿宋" w:eastAsia="仿宋" w:cs="仿宋"/>
                <w:sz w:val="19"/>
                <w:szCs w:val="19"/>
              </w:rPr>
            </w:pPr>
            <w:r>
              <w:rPr>
                <w:rFonts w:ascii="仿宋" w:hAnsi="仿宋" w:eastAsia="仿宋" w:cs="仿宋"/>
                <w:sz w:val="19"/>
                <w:szCs w:val="19"/>
              </w:rPr>
              <w:t>C</w:t>
            </w:r>
            <w:r>
              <w:rPr>
                <w:rFonts w:ascii="仿宋" w:hAnsi="仿宋" w:eastAsia="仿宋" w:cs="仿宋"/>
                <w:spacing w:val="10"/>
                <w:sz w:val="19"/>
                <w:szCs w:val="19"/>
              </w:rPr>
              <w:t xml:space="preserve">1 </w:t>
            </w:r>
            <w:r>
              <w:rPr>
                <w:rFonts w:hint="eastAsia" w:ascii="仿宋" w:hAnsi="仿宋" w:eastAsia="仿宋" w:cs="仿宋"/>
                <w:spacing w:val="10"/>
                <w:sz w:val="19"/>
                <w:szCs w:val="19"/>
              </w:rPr>
              <w:t>卫生行政执法</w:t>
            </w:r>
            <w:r>
              <w:rPr>
                <w:rFonts w:hint="eastAsia" w:ascii="仿宋" w:hAnsi="仿宋" w:eastAsia="仿宋" w:cs="仿宋"/>
                <w:spacing w:val="10"/>
                <w:sz w:val="19"/>
                <w:szCs w:val="19"/>
              </w:rPr>
              <w:br w:type="textWrapping"/>
            </w:r>
            <w:r>
              <w:rPr>
                <w:rFonts w:ascii="仿宋" w:hAnsi="仿宋" w:eastAsia="仿宋" w:cs="仿宋"/>
                <w:spacing w:val="11"/>
                <w:sz w:val="19"/>
                <w:szCs w:val="19"/>
              </w:rPr>
              <w:t>(</w:t>
            </w:r>
            <w:r>
              <w:rPr>
                <w:rFonts w:hint="eastAsia" w:ascii="仿宋" w:hAnsi="仿宋" w:eastAsia="仿宋" w:cs="仿宋"/>
                <w:spacing w:val="11"/>
                <w:sz w:val="19"/>
                <w:szCs w:val="19"/>
              </w:rPr>
              <w:t xml:space="preserve">4 </w:t>
            </w:r>
            <w:r>
              <w:rPr>
                <w:rFonts w:ascii="仿宋" w:hAnsi="仿宋" w:eastAsia="仿宋" w:cs="仿宋"/>
                <w:spacing w:val="11"/>
                <w:sz w:val="19"/>
                <w:szCs w:val="19"/>
              </w:rPr>
              <w:t>分</w:t>
            </w:r>
            <w:r>
              <w:rPr>
                <w:rFonts w:ascii="仿宋" w:hAnsi="仿宋" w:eastAsia="仿宋" w:cs="仿宋"/>
                <w:spacing w:val="10"/>
                <w:sz w:val="19"/>
                <w:szCs w:val="19"/>
              </w:rPr>
              <w:t>)</w:t>
            </w:r>
          </w:p>
          <w:p w14:paraId="2574C171">
            <w:pPr>
              <w:spacing w:line="228" w:lineRule="auto"/>
              <w:rPr>
                <w:rFonts w:ascii="仿宋" w:hAnsi="仿宋" w:eastAsia="仿宋" w:cs="仿宋"/>
                <w:sz w:val="19"/>
                <w:szCs w:val="19"/>
              </w:rPr>
            </w:pPr>
          </w:p>
        </w:tc>
        <w:tc>
          <w:tcPr>
            <w:tcW w:w="1507" w:type="dxa"/>
            <w:vAlign w:val="center"/>
          </w:tcPr>
          <w:p w14:paraId="3FB5C9B6">
            <w:pPr>
              <w:spacing w:before="214" w:line="227" w:lineRule="auto"/>
              <w:ind w:left="109"/>
              <w:rPr>
                <w:rFonts w:ascii="仿宋" w:hAnsi="仿宋" w:eastAsia="仿宋" w:cs="仿宋"/>
                <w:sz w:val="19"/>
                <w:szCs w:val="19"/>
              </w:rPr>
            </w:pPr>
            <w:r>
              <w:rPr>
                <w:rFonts w:ascii="仿宋" w:hAnsi="仿宋" w:eastAsia="仿宋" w:cs="仿宋"/>
                <w:sz w:val="19"/>
                <w:szCs w:val="19"/>
              </w:rPr>
              <w:t>C</w:t>
            </w:r>
            <w:r>
              <w:rPr>
                <w:rFonts w:ascii="仿宋" w:hAnsi="仿宋" w:eastAsia="仿宋" w:cs="仿宋"/>
                <w:spacing w:val="1"/>
                <w:sz w:val="19"/>
                <w:szCs w:val="19"/>
              </w:rPr>
              <w:t xml:space="preserve">11 </w:t>
            </w:r>
            <w:r>
              <w:rPr>
                <w:rFonts w:hint="eastAsia" w:ascii="仿宋" w:hAnsi="仿宋" w:eastAsia="仿宋" w:cs="仿宋"/>
                <w:spacing w:val="1"/>
                <w:sz w:val="19"/>
                <w:szCs w:val="19"/>
              </w:rPr>
              <w:t>日常监督和上级交办工作完</w:t>
            </w:r>
            <w:r>
              <w:rPr>
                <w:rFonts w:ascii="仿宋" w:hAnsi="仿宋" w:eastAsia="仿宋" w:cs="仿宋"/>
                <w:sz w:val="19"/>
                <w:szCs w:val="19"/>
              </w:rPr>
              <w:t>成情况</w:t>
            </w:r>
          </w:p>
        </w:tc>
        <w:tc>
          <w:tcPr>
            <w:tcW w:w="1228" w:type="dxa"/>
            <w:vAlign w:val="center"/>
          </w:tcPr>
          <w:p w14:paraId="75045B4E">
            <w:pPr>
              <w:spacing w:before="214" w:line="228" w:lineRule="auto"/>
              <w:ind w:left="427"/>
              <w:rPr>
                <w:rFonts w:ascii="仿宋" w:hAnsi="仿宋" w:eastAsia="仿宋" w:cs="仿宋"/>
                <w:sz w:val="19"/>
                <w:szCs w:val="19"/>
              </w:rPr>
            </w:pPr>
            <w:r>
              <w:rPr>
                <w:rFonts w:ascii="仿宋" w:hAnsi="仿宋" w:eastAsia="仿宋" w:cs="仿宋"/>
                <w:spacing w:val="2"/>
                <w:sz w:val="19"/>
                <w:szCs w:val="19"/>
              </w:rPr>
              <w:t>完</w:t>
            </w:r>
            <w:r>
              <w:rPr>
                <w:rFonts w:ascii="仿宋" w:hAnsi="仿宋" w:eastAsia="仿宋" w:cs="仿宋"/>
                <w:spacing w:val="1"/>
                <w:sz w:val="19"/>
                <w:szCs w:val="19"/>
              </w:rPr>
              <w:t>成</w:t>
            </w:r>
          </w:p>
        </w:tc>
        <w:tc>
          <w:tcPr>
            <w:tcW w:w="2563" w:type="dxa"/>
            <w:vMerge w:val="restart"/>
            <w:vAlign w:val="center"/>
          </w:tcPr>
          <w:p w14:paraId="65947E03">
            <w:pPr>
              <w:spacing w:before="62" w:line="309" w:lineRule="auto"/>
              <w:ind w:right="105" w:firstLine="190" w:firstLineChars="100"/>
              <w:rPr>
                <w:rFonts w:ascii="仿宋" w:hAnsi="仿宋" w:eastAsia="仿宋" w:cs="仿宋"/>
                <w:sz w:val="19"/>
                <w:szCs w:val="19"/>
              </w:rPr>
            </w:pPr>
            <w:r>
              <w:rPr>
                <w:rFonts w:hint="eastAsia" w:ascii="仿宋" w:hAnsi="仿宋" w:eastAsia="仿宋" w:cs="仿宋"/>
                <w:sz w:val="19"/>
                <w:szCs w:val="19"/>
              </w:rPr>
              <w:t>考察南京市卫生监督所卫生行政执法完成情况，从完成的数量、质量、执法全过程、“双随机、一公开”完成情况等方面考核。</w:t>
            </w:r>
          </w:p>
        </w:tc>
        <w:tc>
          <w:tcPr>
            <w:tcW w:w="3808" w:type="dxa"/>
          </w:tcPr>
          <w:p w14:paraId="48ECBEAA">
            <w:pPr>
              <w:spacing w:before="58" w:line="265" w:lineRule="auto"/>
              <w:ind w:left="120" w:right="103" w:firstLine="24"/>
              <w:rPr>
                <w:rFonts w:ascii="仿宋" w:hAnsi="仿宋" w:eastAsia="仿宋" w:cs="仿宋"/>
                <w:sz w:val="19"/>
                <w:szCs w:val="19"/>
              </w:rPr>
            </w:pPr>
            <w:r>
              <w:rPr>
                <w:rFonts w:ascii="仿宋" w:hAnsi="仿宋" w:eastAsia="仿宋" w:cs="仿宋"/>
                <w:spacing w:val="-4"/>
                <w:sz w:val="19"/>
                <w:szCs w:val="19"/>
              </w:rPr>
              <w:t>完成</w:t>
            </w:r>
            <w:r>
              <w:rPr>
                <w:rFonts w:hint="eastAsia" w:ascii="仿宋" w:hAnsi="仿宋" w:eastAsia="仿宋" w:cs="仿宋"/>
                <w:spacing w:val="1"/>
                <w:sz w:val="19"/>
                <w:szCs w:val="19"/>
              </w:rPr>
              <w:t>日常监督和上级交办工作</w:t>
            </w:r>
            <w:r>
              <w:rPr>
                <w:rFonts w:ascii="仿宋" w:hAnsi="仿宋" w:eastAsia="仿宋" w:cs="仿宋"/>
                <w:spacing w:val="-2"/>
                <w:sz w:val="19"/>
                <w:szCs w:val="19"/>
              </w:rPr>
              <w:t xml:space="preserve">得 </w:t>
            </w:r>
            <w:r>
              <w:rPr>
                <w:rFonts w:hint="eastAsia" w:ascii="仿宋" w:hAnsi="仿宋" w:eastAsia="仿宋" w:cs="仿宋"/>
                <w:spacing w:val="-2"/>
                <w:sz w:val="19"/>
                <w:szCs w:val="19"/>
              </w:rPr>
              <w:t>1</w:t>
            </w:r>
            <w:r>
              <w:rPr>
                <w:rFonts w:ascii="仿宋" w:hAnsi="仿宋" w:eastAsia="仿宋" w:cs="仿宋"/>
                <w:spacing w:val="-2"/>
                <w:sz w:val="19"/>
                <w:szCs w:val="19"/>
              </w:rPr>
              <w:t>分， 否则不</w:t>
            </w:r>
            <w:r>
              <w:rPr>
                <w:rFonts w:ascii="仿宋" w:hAnsi="仿宋" w:eastAsia="仿宋" w:cs="仿宋"/>
                <w:spacing w:val="-4"/>
                <w:sz w:val="19"/>
                <w:szCs w:val="19"/>
              </w:rPr>
              <w:t>得</w:t>
            </w:r>
            <w:r>
              <w:rPr>
                <w:rFonts w:ascii="仿宋" w:hAnsi="仿宋" w:eastAsia="仿宋" w:cs="仿宋"/>
                <w:spacing w:val="-3"/>
                <w:sz w:val="19"/>
                <w:szCs w:val="19"/>
              </w:rPr>
              <w:t>分。</w:t>
            </w:r>
          </w:p>
        </w:tc>
        <w:tc>
          <w:tcPr>
            <w:tcW w:w="801" w:type="dxa"/>
          </w:tcPr>
          <w:p w14:paraId="1795B6CE">
            <w:pPr>
              <w:spacing w:before="251" w:line="184" w:lineRule="auto"/>
              <w:ind w:left="359"/>
              <w:rPr>
                <w:rFonts w:ascii="仿宋" w:hAnsi="仿宋" w:eastAsia="仿宋" w:cs="仿宋"/>
                <w:sz w:val="19"/>
                <w:szCs w:val="19"/>
              </w:rPr>
            </w:pPr>
            <w:r>
              <w:rPr>
                <w:rFonts w:hint="eastAsia" w:ascii="仿宋" w:hAnsi="仿宋" w:eastAsia="仿宋" w:cs="仿宋"/>
                <w:sz w:val="19"/>
                <w:szCs w:val="19"/>
              </w:rPr>
              <w:t>1</w:t>
            </w:r>
          </w:p>
        </w:tc>
        <w:tc>
          <w:tcPr>
            <w:tcW w:w="809" w:type="dxa"/>
          </w:tcPr>
          <w:p w14:paraId="079CD5EF">
            <w:pPr>
              <w:spacing w:before="251" w:line="184" w:lineRule="auto"/>
              <w:ind w:left="360"/>
              <w:rPr>
                <w:rFonts w:ascii="仿宋" w:hAnsi="仿宋" w:eastAsia="仿宋" w:cs="仿宋"/>
                <w:sz w:val="19"/>
                <w:szCs w:val="19"/>
              </w:rPr>
            </w:pPr>
            <w:r>
              <w:rPr>
                <w:rFonts w:hint="eastAsia" w:ascii="仿宋" w:hAnsi="仿宋" w:eastAsia="仿宋" w:cs="仿宋"/>
                <w:sz w:val="19"/>
                <w:szCs w:val="19"/>
              </w:rPr>
              <w:t>1</w:t>
            </w:r>
          </w:p>
        </w:tc>
      </w:tr>
      <w:tr w14:paraId="746947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0" w:hRule="atLeast"/>
          <w:jc w:val="center"/>
        </w:trPr>
        <w:tc>
          <w:tcPr>
            <w:tcW w:w="1713" w:type="dxa"/>
            <w:vMerge w:val="continue"/>
          </w:tcPr>
          <w:p w14:paraId="1643122B">
            <w:pPr>
              <w:rPr>
                <w:rFonts w:ascii="Arial"/>
              </w:rPr>
            </w:pPr>
          </w:p>
        </w:tc>
        <w:tc>
          <w:tcPr>
            <w:tcW w:w="1526" w:type="dxa"/>
            <w:vMerge w:val="continue"/>
          </w:tcPr>
          <w:p w14:paraId="59BC33F2">
            <w:pPr>
              <w:rPr>
                <w:rFonts w:ascii="Arial"/>
              </w:rPr>
            </w:pPr>
          </w:p>
        </w:tc>
        <w:tc>
          <w:tcPr>
            <w:tcW w:w="1507" w:type="dxa"/>
            <w:vAlign w:val="center"/>
          </w:tcPr>
          <w:p w14:paraId="73D10AE7">
            <w:pPr>
              <w:spacing w:before="211" w:line="312" w:lineRule="exact"/>
              <w:ind w:left="109"/>
              <w:rPr>
                <w:rFonts w:ascii="仿宋" w:hAnsi="仿宋" w:eastAsia="仿宋" w:cs="仿宋"/>
                <w:sz w:val="19"/>
                <w:szCs w:val="19"/>
              </w:rPr>
            </w:pPr>
            <w:r>
              <w:rPr>
                <w:rFonts w:ascii="仿宋" w:hAnsi="仿宋" w:eastAsia="仿宋" w:cs="仿宋"/>
                <w:spacing w:val="-2"/>
                <w:position w:val="8"/>
                <w:sz w:val="19"/>
                <w:szCs w:val="19"/>
              </w:rPr>
              <w:t>C</w:t>
            </w:r>
            <w:r>
              <w:rPr>
                <w:rFonts w:ascii="仿宋" w:hAnsi="仿宋" w:eastAsia="仿宋" w:cs="仿宋"/>
                <w:spacing w:val="-4"/>
                <w:position w:val="8"/>
                <w:sz w:val="19"/>
                <w:szCs w:val="19"/>
              </w:rPr>
              <w:t>1</w:t>
            </w:r>
            <w:r>
              <w:rPr>
                <w:rFonts w:ascii="仿宋" w:hAnsi="仿宋" w:eastAsia="仿宋" w:cs="仿宋"/>
                <w:spacing w:val="-2"/>
                <w:position w:val="8"/>
                <w:sz w:val="19"/>
                <w:szCs w:val="19"/>
              </w:rPr>
              <w:t xml:space="preserve">2 </w:t>
            </w:r>
            <w:r>
              <w:rPr>
                <w:rFonts w:hint="eastAsia" w:ascii="仿宋" w:hAnsi="仿宋" w:eastAsia="仿宋" w:cs="仿宋"/>
                <w:spacing w:val="-2"/>
                <w:position w:val="8"/>
                <w:sz w:val="19"/>
                <w:szCs w:val="19"/>
              </w:rPr>
              <w:t>执法全过程记录情况</w:t>
            </w:r>
          </w:p>
        </w:tc>
        <w:tc>
          <w:tcPr>
            <w:tcW w:w="1228" w:type="dxa"/>
            <w:vAlign w:val="center"/>
          </w:tcPr>
          <w:p w14:paraId="37723870">
            <w:pPr>
              <w:spacing w:before="62" w:line="228" w:lineRule="auto"/>
              <w:ind w:firstLine="380" w:firstLineChars="200"/>
              <w:rPr>
                <w:rFonts w:ascii="仿宋" w:hAnsi="仿宋" w:eastAsia="仿宋" w:cs="仿宋"/>
                <w:sz w:val="19"/>
                <w:szCs w:val="19"/>
              </w:rPr>
            </w:pPr>
            <w:r>
              <w:rPr>
                <w:rFonts w:hint="eastAsia" w:ascii="仿宋" w:hAnsi="仿宋" w:eastAsia="仿宋" w:cs="仿宋"/>
                <w:sz w:val="19"/>
                <w:szCs w:val="19"/>
              </w:rPr>
              <w:t>合规</w:t>
            </w:r>
          </w:p>
        </w:tc>
        <w:tc>
          <w:tcPr>
            <w:tcW w:w="2563" w:type="dxa"/>
            <w:vMerge w:val="continue"/>
          </w:tcPr>
          <w:p w14:paraId="773F45AD">
            <w:pPr>
              <w:rPr>
                <w:rFonts w:ascii="Arial"/>
              </w:rPr>
            </w:pPr>
          </w:p>
        </w:tc>
        <w:tc>
          <w:tcPr>
            <w:tcW w:w="3808" w:type="dxa"/>
          </w:tcPr>
          <w:p w14:paraId="1BD5C220">
            <w:pPr>
              <w:spacing w:before="55" w:line="278" w:lineRule="auto"/>
              <w:ind w:left="122" w:right="104" w:firstLine="39"/>
              <w:rPr>
                <w:rFonts w:ascii="仿宋" w:hAnsi="仿宋" w:eastAsia="仿宋" w:cs="仿宋"/>
                <w:sz w:val="19"/>
                <w:szCs w:val="19"/>
              </w:rPr>
            </w:pPr>
            <w:r>
              <w:rPr>
                <w:rFonts w:hint="eastAsia" w:ascii="仿宋" w:hAnsi="仿宋" w:eastAsia="仿宋" w:cs="仿宋"/>
                <w:sz w:val="19"/>
                <w:szCs w:val="19"/>
              </w:rPr>
              <w:t>卫生行政执法工作按照要求进行执法全过程记录得1分，否则不得分。</w:t>
            </w:r>
          </w:p>
        </w:tc>
        <w:tc>
          <w:tcPr>
            <w:tcW w:w="801" w:type="dxa"/>
          </w:tcPr>
          <w:p w14:paraId="66511D69">
            <w:pPr>
              <w:spacing w:line="341" w:lineRule="auto"/>
              <w:rPr>
                <w:rFonts w:ascii="Arial"/>
              </w:rPr>
            </w:pPr>
          </w:p>
          <w:p w14:paraId="6C4DAF9E">
            <w:pPr>
              <w:spacing w:before="61" w:line="184" w:lineRule="auto"/>
              <w:ind w:left="359"/>
              <w:rPr>
                <w:rFonts w:ascii="仿宋" w:hAnsi="仿宋" w:eastAsia="仿宋" w:cs="仿宋"/>
                <w:sz w:val="19"/>
                <w:szCs w:val="19"/>
              </w:rPr>
            </w:pPr>
            <w:r>
              <w:rPr>
                <w:rFonts w:hint="eastAsia" w:ascii="仿宋" w:hAnsi="仿宋" w:eastAsia="仿宋" w:cs="仿宋"/>
                <w:sz w:val="19"/>
                <w:szCs w:val="19"/>
              </w:rPr>
              <w:t>1</w:t>
            </w:r>
          </w:p>
        </w:tc>
        <w:tc>
          <w:tcPr>
            <w:tcW w:w="809" w:type="dxa"/>
          </w:tcPr>
          <w:p w14:paraId="2895AAB4">
            <w:pPr>
              <w:spacing w:line="341" w:lineRule="auto"/>
              <w:rPr>
                <w:rFonts w:ascii="Arial"/>
              </w:rPr>
            </w:pPr>
          </w:p>
          <w:p w14:paraId="3157100A">
            <w:pPr>
              <w:spacing w:before="61" w:line="184" w:lineRule="auto"/>
              <w:ind w:left="360"/>
              <w:rPr>
                <w:rFonts w:ascii="仿宋" w:hAnsi="仿宋" w:eastAsia="仿宋" w:cs="仿宋"/>
                <w:sz w:val="19"/>
                <w:szCs w:val="19"/>
              </w:rPr>
            </w:pPr>
            <w:r>
              <w:rPr>
                <w:rFonts w:hint="eastAsia" w:ascii="仿宋" w:hAnsi="仿宋" w:eastAsia="仿宋" w:cs="仿宋"/>
                <w:sz w:val="19"/>
                <w:szCs w:val="19"/>
              </w:rPr>
              <w:t>1</w:t>
            </w:r>
          </w:p>
        </w:tc>
      </w:tr>
      <w:tr w14:paraId="47431C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1713" w:type="dxa"/>
            <w:vMerge w:val="continue"/>
          </w:tcPr>
          <w:p w14:paraId="60A7F8E5">
            <w:pPr>
              <w:rPr>
                <w:rFonts w:ascii="Arial"/>
              </w:rPr>
            </w:pPr>
          </w:p>
        </w:tc>
        <w:tc>
          <w:tcPr>
            <w:tcW w:w="1526" w:type="dxa"/>
            <w:vMerge w:val="continue"/>
          </w:tcPr>
          <w:p w14:paraId="571F5176">
            <w:pPr>
              <w:rPr>
                <w:rFonts w:ascii="Arial"/>
              </w:rPr>
            </w:pPr>
          </w:p>
        </w:tc>
        <w:tc>
          <w:tcPr>
            <w:tcW w:w="1507" w:type="dxa"/>
            <w:vAlign w:val="center"/>
          </w:tcPr>
          <w:p w14:paraId="5B1BF142">
            <w:pPr>
              <w:spacing w:line="229" w:lineRule="auto"/>
              <w:ind w:left="122"/>
              <w:rPr>
                <w:rFonts w:ascii="仿宋" w:hAnsi="仿宋" w:eastAsia="仿宋" w:cs="仿宋"/>
                <w:sz w:val="19"/>
                <w:szCs w:val="19"/>
              </w:rPr>
            </w:pPr>
            <w:r>
              <w:rPr>
                <w:rFonts w:ascii="仿宋" w:hAnsi="仿宋" w:eastAsia="仿宋" w:cs="仿宋"/>
                <w:spacing w:val="-2"/>
                <w:position w:val="8"/>
                <w:sz w:val="19"/>
                <w:szCs w:val="19"/>
              </w:rPr>
              <w:t>C</w:t>
            </w:r>
            <w:r>
              <w:rPr>
                <w:rFonts w:ascii="仿宋" w:hAnsi="仿宋" w:eastAsia="仿宋" w:cs="仿宋"/>
                <w:spacing w:val="-4"/>
                <w:position w:val="8"/>
                <w:sz w:val="19"/>
                <w:szCs w:val="19"/>
              </w:rPr>
              <w:t>1</w:t>
            </w:r>
            <w:r>
              <w:rPr>
                <w:rFonts w:ascii="仿宋" w:hAnsi="仿宋" w:eastAsia="仿宋" w:cs="仿宋"/>
                <w:spacing w:val="-2"/>
                <w:position w:val="8"/>
                <w:sz w:val="19"/>
                <w:szCs w:val="19"/>
              </w:rPr>
              <w:t xml:space="preserve">3 </w:t>
            </w:r>
            <w:r>
              <w:rPr>
                <w:rFonts w:hint="eastAsia" w:ascii="仿宋" w:hAnsi="仿宋" w:eastAsia="仿宋" w:cs="仿宋"/>
                <w:spacing w:val="-2"/>
                <w:position w:val="8"/>
                <w:sz w:val="19"/>
                <w:szCs w:val="19"/>
              </w:rPr>
              <w:t>“双随机、一公开”任务完成情况</w:t>
            </w:r>
          </w:p>
        </w:tc>
        <w:tc>
          <w:tcPr>
            <w:tcW w:w="1228" w:type="dxa"/>
            <w:vAlign w:val="center"/>
          </w:tcPr>
          <w:p w14:paraId="78666A57">
            <w:pPr>
              <w:spacing w:before="58" w:line="312" w:lineRule="exact"/>
              <w:jc w:val="center"/>
              <w:rPr>
                <w:rFonts w:ascii="仿宋" w:hAnsi="仿宋" w:eastAsia="仿宋" w:cs="仿宋"/>
                <w:sz w:val="19"/>
                <w:szCs w:val="19"/>
              </w:rPr>
            </w:pPr>
            <w:r>
              <w:rPr>
                <w:rFonts w:hint="eastAsia" w:ascii="仿宋" w:hAnsi="仿宋" w:eastAsia="仿宋" w:cs="仿宋"/>
                <w:sz w:val="19"/>
                <w:szCs w:val="19"/>
              </w:rPr>
              <w:t>=100%</w:t>
            </w:r>
          </w:p>
        </w:tc>
        <w:tc>
          <w:tcPr>
            <w:tcW w:w="2563" w:type="dxa"/>
            <w:vMerge w:val="continue"/>
          </w:tcPr>
          <w:p w14:paraId="1CFFF2BF">
            <w:pPr>
              <w:rPr>
                <w:rFonts w:ascii="Arial"/>
              </w:rPr>
            </w:pPr>
          </w:p>
        </w:tc>
        <w:tc>
          <w:tcPr>
            <w:tcW w:w="3808" w:type="dxa"/>
          </w:tcPr>
          <w:p w14:paraId="5531AD38">
            <w:pPr>
              <w:spacing w:before="56" w:line="278" w:lineRule="auto"/>
              <w:ind w:left="120" w:right="48" w:firstLine="41"/>
              <w:rPr>
                <w:rFonts w:ascii="仿宋" w:hAnsi="仿宋" w:eastAsia="仿宋" w:cs="仿宋"/>
                <w:sz w:val="19"/>
                <w:szCs w:val="19"/>
              </w:rPr>
            </w:pPr>
            <w:r>
              <w:rPr>
                <w:rFonts w:hint="eastAsia" w:ascii="仿宋" w:hAnsi="仿宋" w:eastAsia="仿宋" w:cs="仿宋"/>
                <w:sz w:val="19"/>
                <w:szCs w:val="19"/>
              </w:rPr>
              <w:t>按每年任务下达数完成“双随机、一公开”国检和省检任务得1分，否则不得分。</w:t>
            </w:r>
          </w:p>
        </w:tc>
        <w:tc>
          <w:tcPr>
            <w:tcW w:w="801" w:type="dxa"/>
          </w:tcPr>
          <w:p w14:paraId="67EF18AC">
            <w:pPr>
              <w:spacing w:line="341" w:lineRule="auto"/>
              <w:rPr>
                <w:rFonts w:ascii="Arial"/>
              </w:rPr>
            </w:pPr>
          </w:p>
          <w:p w14:paraId="5E4981E3">
            <w:pPr>
              <w:spacing w:before="62" w:line="184" w:lineRule="auto"/>
              <w:ind w:left="359"/>
              <w:rPr>
                <w:rFonts w:ascii="仿宋" w:hAnsi="仿宋" w:eastAsia="仿宋" w:cs="仿宋"/>
                <w:sz w:val="19"/>
                <w:szCs w:val="19"/>
              </w:rPr>
            </w:pPr>
            <w:r>
              <w:rPr>
                <w:rFonts w:hint="eastAsia" w:ascii="仿宋" w:hAnsi="仿宋" w:eastAsia="仿宋" w:cs="仿宋"/>
                <w:sz w:val="19"/>
                <w:szCs w:val="19"/>
              </w:rPr>
              <w:t>1</w:t>
            </w:r>
          </w:p>
        </w:tc>
        <w:tc>
          <w:tcPr>
            <w:tcW w:w="809" w:type="dxa"/>
          </w:tcPr>
          <w:p w14:paraId="5B8142FC">
            <w:pPr>
              <w:spacing w:line="341" w:lineRule="auto"/>
              <w:rPr>
                <w:rFonts w:ascii="Arial"/>
              </w:rPr>
            </w:pPr>
          </w:p>
          <w:p w14:paraId="6128A3C7">
            <w:pPr>
              <w:spacing w:before="62" w:line="184" w:lineRule="auto"/>
              <w:ind w:left="360"/>
              <w:rPr>
                <w:rFonts w:ascii="仿宋" w:hAnsi="仿宋" w:eastAsia="仿宋" w:cs="仿宋"/>
                <w:sz w:val="19"/>
                <w:szCs w:val="19"/>
              </w:rPr>
            </w:pPr>
            <w:r>
              <w:rPr>
                <w:rFonts w:hint="eastAsia" w:ascii="仿宋" w:hAnsi="仿宋" w:eastAsia="仿宋" w:cs="仿宋"/>
                <w:sz w:val="19"/>
                <w:szCs w:val="19"/>
              </w:rPr>
              <w:t>1</w:t>
            </w:r>
          </w:p>
        </w:tc>
      </w:tr>
      <w:tr w14:paraId="46A56F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jc w:val="center"/>
        </w:trPr>
        <w:tc>
          <w:tcPr>
            <w:tcW w:w="1713" w:type="dxa"/>
            <w:vMerge w:val="continue"/>
          </w:tcPr>
          <w:p w14:paraId="4BC5278F">
            <w:pPr>
              <w:rPr>
                <w:rFonts w:ascii="Arial"/>
              </w:rPr>
            </w:pPr>
          </w:p>
        </w:tc>
        <w:tc>
          <w:tcPr>
            <w:tcW w:w="1526" w:type="dxa"/>
            <w:vMerge w:val="continue"/>
          </w:tcPr>
          <w:p w14:paraId="33FA6393">
            <w:pPr>
              <w:rPr>
                <w:rFonts w:ascii="Arial"/>
              </w:rPr>
            </w:pPr>
          </w:p>
        </w:tc>
        <w:tc>
          <w:tcPr>
            <w:tcW w:w="1507" w:type="dxa"/>
            <w:vAlign w:val="center"/>
          </w:tcPr>
          <w:p w14:paraId="4ECA0D29">
            <w:pPr>
              <w:spacing w:line="229" w:lineRule="auto"/>
              <w:ind w:left="122"/>
              <w:rPr>
                <w:rFonts w:ascii="仿宋" w:hAnsi="仿宋" w:eastAsia="仿宋" w:cs="仿宋"/>
                <w:spacing w:val="-2"/>
                <w:position w:val="8"/>
                <w:sz w:val="19"/>
                <w:szCs w:val="19"/>
              </w:rPr>
            </w:pPr>
            <w:r>
              <w:rPr>
                <w:rFonts w:hint="eastAsia" w:ascii="仿宋" w:hAnsi="仿宋" w:eastAsia="仿宋" w:cs="仿宋"/>
                <w:spacing w:val="-2"/>
                <w:position w:val="8"/>
                <w:sz w:val="19"/>
                <w:szCs w:val="19"/>
              </w:rPr>
              <w:t>C14 新冠肺炎疫情工作开展情况</w:t>
            </w:r>
          </w:p>
        </w:tc>
        <w:tc>
          <w:tcPr>
            <w:tcW w:w="1228" w:type="dxa"/>
            <w:vAlign w:val="center"/>
          </w:tcPr>
          <w:p w14:paraId="2FF3D67E">
            <w:pPr>
              <w:spacing w:before="58" w:line="312" w:lineRule="exact"/>
              <w:jc w:val="center"/>
              <w:rPr>
                <w:rFonts w:ascii="仿宋" w:hAnsi="仿宋" w:eastAsia="仿宋" w:cs="仿宋"/>
                <w:sz w:val="19"/>
                <w:szCs w:val="19"/>
              </w:rPr>
            </w:pPr>
            <w:r>
              <w:rPr>
                <w:rFonts w:hint="eastAsia" w:ascii="仿宋" w:hAnsi="仿宋" w:eastAsia="仿宋" w:cs="仿宋"/>
                <w:sz w:val="19"/>
                <w:szCs w:val="19"/>
              </w:rPr>
              <w:t>合规</w:t>
            </w:r>
          </w:p>
        </w:tc>
        <w:tc>
          <w:tcPr>
            <w:tcW w:w="2563" w:type="dxa"/>
            <w:vMerge w:val="continue"/>
          </w:tcPr>
          <w:p w14:paraId="2D9DA462">
            <w:pPr>
              <w:rPr>
                <w:rFonts w:ascii="Arial"/>
              </w:rPr>
            </w:pPr>
          </w:p>
        </w:tc>
        <w:tc>
          <w:tcPr>
            <w:tcW w:w="3808" w:type="dxa"/>
          </w:tcPr>
          <w:p w14:paraId="5C53D2BF">
            <w:pPr>
              <w:spacing w:before="56" w:line="278" w:lineRule="auto"/>
              <w:ind w:left="120" w:right="48" w:firstLine="41"/>
              <w:rPr>
                <w:rFonts w:ascii="仿宋" w:hAnsi="仿宋" w:eastAsia="仿宋" w:cs="仿宋"/>
                <w:sz w:val="19"/>
                <w:szCs w:val="19"/>
              </w:rPr>
            </w:pPr>
            <w:r>
              <w:rPr>
                <w:rFonts w:hint="eastAsia" w:ascii="仿宋" w:hAnsi="仿宋" w:eastAsia="仿宋" w:cs="仿宋"/>
                <w:sz w:val="19"/>
                <w:szCs w:val="19"/>
              </w:rPr>
              <w:t>新冠肺炎疫情常态化工作开展情况，符合要求得1分，否则不得分。</w:t>
            </w:r>
          </w:p>
        </w:tc>
        <w:tc>
          <w:tcPr>
            <w:tcW w:w="801" w:type="dxa"/>
            <w:vAlign w:val="center"/>
          </w:tcPr>
          <w:p w14:paraId="2DCC9DBD">
            <w:pPr>
              <w:spacing w:before="62" w:line="184" w:lineRule="auto"/>
              <w:ind w:left="359"/>
              <w:rPr>
                <w:rFonts w:ascii="仿宋" w:hAnsi="仿宋" w:eastAsia="仿宋" w:cs="仿宋"/>
                <w:sz w:val="19"/>
                <w:szCs w:val="19"/>
              </w:rPr>
            </w:pPr>
            <w:r>
              <w:rPr>
                <w:rFonts w:hint="eastAsia" w:ascii="仿宋" w:hAnsi="仿宋" w:eastAsia="仿宋" w:cs="仿宋"/>
                <w:sz w:val="19"/>
                <w:szCs w:val="19"/>
              </w:rPr>
              <w:t>1</w:t>
            </w:r>
          </w:p>
        </w:tc>
        <w:tc>
          <w:tcPr>
            <w:tcW w:w="809" w:type="dxa"/>
            <w:vAlign w:val="center"/>
          </w:tcPr>
          <w:p w14:paraId="3B2B8593">
            <w:pPr>
              <w:spacing w:before="62" w:line="184" w:lineRule="auto"/>
              <w:ind w:left="360"/>
              <w:rPr>
                <w:rFonts w:ascii="仿宋" w:hAnsi="仿宋" w:eastAsia="仿宋" w:cs="仿宋"/>
                <w:sz w:val="19"/>
                <w:szCs w:val="19"/>
              </w:rPr>
            </w:pPr>
            <w:r>
              <w:rPr>
                <w:rFonts w:hint="eastAsia" w:ascii="仿宋" w:hAnsi="仿宋" w:eastAsia="仿宋" w:cs="仿宋"/>
                <w:sz w:val="19"/>
                <w:szCs w:val="19"/>
              </w:rPr>
              <w:t>1</w:t>
            </w:r>
          </w:p>
        </w:tc>
      </w:tr>
      <w:tr w14:paraId="1B1824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9" w:hRule="atLeast"/>
          <w:jc w:val="center"/>
        </w:trPr>
        <w:tc>
          <w:tcPr>
            <w:tcW w:w="1713" w:type="dxa"/>
            <w:vMerge w:val="continue"/>
          </w:tcPr>
          <w:p w14:paraId="562EE75B">
            <w:pPr>
              <w:rPr>
                <w:rFonts w:ascii="Arial"/>
              </w:rPr>
            </w:pPr>
          </w:p>
        </w:tc>
        <w:tc>
          <w:tcPr>
            <w:tcW w:w="1526" w:type="dxa"/>
            <w:vMerge w:val="restart"/>
            <w:tcBorders>
              <w:bottom w:val="nil"/>
            </w:tcBorders>
          </w:tcPr>
          <w:p w14:paraId="3889D151">
            <w:pPr>
              <w:spacing w:line="292" w:lineRule="auto"/>
              <w:rPr>
                <w:rFonts w:ascii="Arial"/>
              </w:rPr>
            </w:pPr>
          </w:p>
          <w:p w14:paraId="5FCD8FF9">
            <w:pPr>
              <w:spacing w:line="293" w:lineRule="auto"/>
              <w:rPr>
                <w:rFonts w:ascii="Arial"/>
              </w:rPr>
            </w:pPr>
          </w:p>
          <w:p w14:paraId="5F836D60">
            <w:pPr>
              <w:spacing w:line="293" w:lineRule="auto"/>
              <w:rPr>
                <w:rFonts w:ascii="Arial"/>
              </w:rPr>
            </w:pPr>
          </w:p>
          <w:p w14:paraId="640B3E2C">
            <w:pPr>
              <w:spacing w:before="62" w:line="311" w:lineRule="auto"/>
              <w:ind w:left="117" w:right="105" w:hanging="8"/>
              <w:jc w:val="center"/>
              <w:rPr>
                <w:rFonts w:ascii="仿宋" w:hAnsi="仿宋" w:eastAsia="仿宋" w:cs="仿宋"/>
                <w:spacing w:val="4"/>
                <w:sz w:val="19"/>
                <w:szCs w:val="19"/>
              </w:rPr>
            </w:pPr>
            <w:r>
              <w:rPr>
                <w:rFonts w:ascii="仿宋" w:hAnsi="仿宋" w:eastAsia="仿宋" w:cs="仿宋"/>
                <w:sz w:val="19"/>
                <w:szCs w:val="19"/>
              </w:rPr>
              <w:t>C</w:t>
            </w:r>
            <w:r>
              <w:rPr>
                <w:rFonts w:ascii="仿宋" w:hAnsi="仿宋" w:eastAsia="仿宋" w:cs="仿宋"/>
                <w:spacing w:val="8"/>
                <w:sz w:val="19"/>
                <w:szCs w:val="19"/>
              </w:rPr>
              <w:t>2</w:t>
            </w:r>
            <w:r>
              <w:rPr>
                <w:rFonts w:hint="eastAsia" w:ascii="仿宋" w:hAnsi="仿宋" w:eastAsia="仿宋" w:cs="仿宋"/>
                <w:spacing w:val="4"/>
                <w:sz w:val="19"/>
                <w:szCs w:val="19"/>
              </w:rPr>
              <w:t>医疗机构现场评审工作</w:t>
            </w:r>
          </w:p>
          <w:p w14:paraId="3FF6626F">
            <w:pPr>
              <w:spacing w:before="62" w:line="311" w:lineRule="auto"/>
              <w:ind w:left="117" w:right="105" w:hanging="8"/>
              <w:jc w:val="center"/>
              <w:rPr>
                <w:rFonts w:ascii="仿宋" w:hAnsi="仿宋" w:eastAsia="仿宋" w:cs="仿宋"/>
                <w:spacing w:val="4"/>
                <w:sz w:val="19"/>
                <w:szCs w:val="19"/>
              </w:rPr>
            </w:pPr>
            <w:r>
              <w:rPr>
                <w:rFonts w:ascii="仿宋" w:hAnsi="仿宋" w:eastAsia="仿宋" w:cs="仿宋"/>
                <w:spacing w:val="11"/>
                <w:sz w:val="19"/>
                <w:szCs w:val="19"/>
              </w:rPr>
              <w:t>(</w:t>
            </w:r>
            <w:r>
              <w:rPr>
                <w:rFonts w:hint="eastAsia" w:ascii="仿宋" w:hAnsi="仿宋" w:eastAsia="仿宋" w:cs="仿宋"/>
                <w:spacing w:val="11"/>
                <w:sz w:val="19"/>
                <w:szCs w:val="19"/>
              </w:rPr>
              <w:t>3</w:t>
            </w:r>
            <w:r>
              <w:rPr>
                <w:rFonts w:ascii="仿宋" w:hAnsi="仿宋" w:eastAsia="仿宋" w:cs="仿宋"/>
                <w:spacing w:val="11"/>
                <w:sz w:val="19"/>
                <w:szCs w:val="19"/>
              </w:rPr>
              <w:t xml:space="preserve"> 分</w:t>
            </w:r>
            <w:r>
              <w:rPr>
                <w:rFonts w:ascii="仿宋" w:hAnsi="仿宋" w:eastAsia="仿宋" w:cs="仿宋"/>
                <w:spacing w:val="10"/>
                <w:sz w:val="19"/>
                <w:szCs w:val="19"/>
              </w:rPr>
              <w:t>)</w:t>
            </w:r>
          </w:p>
        </w:tc>
        <w:tc>
          <w:tcPr>
            <w:tcW w:w="1507" w:type="dxa"/>
          </w:tcPr>
          <w:p w14:paraId="678870AC">
            <w:pPr>
              <w:spacing w:line="248" w:lineRule="auto"/>
              <w:jc w:val="center"/>
              <w:rPr>
                <w:rFonts w:ascii="Arial"/>
              </w:rPr>
            </w:pPr>
          </w:p>
          <w:p w14:paraId="43AB631D">
            <w:pPr>
              <w:spacing w:before="62" w:line="312" w:lineRule="exact"/>
              <w:ind w:left="109"/>
              <w:rPr>
                <w:rFonts w:ascii="仿宋" w:hAnsi="仿宋" w:eastAsia="仿宋" w:cs="仿宋"/>
                <w:sz w:val="19"/>
                <w:szCs w:val="19"/>
              </w:rPr>
            </w:pPr>
            <w:r>
              <w:rPr>
                <w:rFonts w:ascii="仿宋" w:hAnsi="仿宋" w:eastAsia="仿宋" w:cs="仿宋"/>
                <w:sz w:val="19"/>
                <w:szCs w:val="19"/>
              </w:rPr>
              <w:t>C</w:t>
            </w:r>
            <w:r>
              <w:rPr>
                <w:rFonts w:hint="eastAsia" w:ascii="仿宋" w:hAnsi="仿宋" w:eastAsia="仿宋" w:cs="仿宋"/>
                <w:spacing w:val="1"/>
                <w:sz w:val="19"/>
                <w:szCs w:val="19"/>
              </w:rPr>
              <w:t>2</w:t>
            </w:r>
            <w:r>
              <w:rPr>
                <w:rFonts w:ascii="仿宋" w:hAnsi="仿宋" w:eastAsia="仿宋" w:cs="仿宋"/>
                <w:spacing w:val="1"/>
                <w:sz w:val="19"/>
                <w:szCs w:val="19"/>
              </w:rPr>
              <w:t>1 完</w:t>
            </w:r>
            <w:r>
              <w:rPr>
                <w:rFonts w:ascii="仿宋" w:hAnsi="仿宋" w:eastAsia="仿宋" w:cs="仿宋"/>
                <w:sz w:val="19"/>
                <w:szCs w:val="19"/>
              </w:rPr>
              <w:t>成情况</w:t>
            </w:r>
          </w:p>
        </w:tc>
        <w:tc>
          <w:tcPr>
            <w:tcW w:w="1228" w:type="dxa"/>
            <w:vAlign w:val="center"/>
          </w:tcPr>
          <w:p w14:paraId="6023BF95">
            <w:pPr>
              <w:spacing w:before="62" w:line="228" w:lineRule="auto"/>
              <w:ind w:firstLine="380" w:firstLineChars="200"/>
              <w:rPr>
                <w:rFonts w:ascii="仿宋" w:hAnsi="仿宋" w:eastAsia="仿宋" w:cs="仿宋"/>
                <w:sz w:val="19"/>
                <w:szCs w:val="19"/>
              </w:rPr>
            </w:pPr>
            <w:r>
              <w:rPr>
                <w:rFonts w:hint="eastAsia" w:ascii="仿宋" w:hAnsi="仿宋" w:eastAsia="仿宋" w:cs="仿宋"/>
                <w:sz w:val="19"/>
                <w:szCs w:val="19"/>
              </w:rPr>
              <w:t>≧90%</w:t>
            </w:r>
          </w:p>
        </w:tc>
        <w:tc>
          <w:tcPr>
            <w:tcW w:w="2563" w:type="dxa"/>
            <w:vMerge w:val="restart"/>
            <w:tcBorders>
              <w:bottom w:val="nil"/>
            </w:tcBorders>
          </w:tcPr>
          <w:p w14:paraId="1BA947EC">
            <w:pPr>
              <w:spacing w:line="413" w:lineRule="auto"/>
              <w:rPr>
                <w:rFonts w:ascii="Arial"/>
              </w:rPr>
            </w:pPr>
          </w:p>
          <w:p w14:paraId="1F07B053">
            <w:pPr>
              <w:spacing w:before="62" w:line="307" w:lineRule="auto"/>
              <w:ind w:left="119" w:right="105"/>
              <w:rPr>
                <w:rFonts w:ascii="仿宋" w:hAnsi="仿宋" w:eastAsia="仿宋" w:cs="仿宋"/>
                <w:sz w:val="19"/>
                <w:szCs w:val="19"/>
              </w:rPr>
            </w:pPr>
            <w:r>
              <w:rPr>
                <w:rFonts w:hint="eastAsia" w:ascii="仿宋" w:hAnsi="仿宋" w:eastAsia="仿宋" w:cs="仿宋"/>
                <w:spacing w:val="8"/>
                <w:sz w:val="19"/>
                <w:szCs w:val="19"/>
              </w:rPr>
              <w:t>考察南京市卫生监督医疗机构现场评审工作，从完成的数量、质量、完成时效等方面考核。</w:t>
            </w:r>
          </w:p>
        </w:tc>
        <w:tc>
          <w:tcPr>
            <w:tcW w:w="3808" w:type="dxa"/>
          </w:tcPr>
          <w:p w14:paraId="49FA1052">
            <w:pPr>
              <w:spacing w:before="62" w:line="314" w:lineRule="auto"/>
              <w:ind w:right="103" w:firstLine="214" w:firstLineChars="100"/>
              <w:rPr>
                <w:rFonts w:ascii="仿宋" w:hAnsi="仿宋" w:eastAsia="仿宋" w:cs="仿宋"/>
                <w:sz w:val="19"/>
                <w:szCs w:val="19"/>
              </w:rPr>
            </w:pPr>
            <w:r>
              <w:rPr>
                <w:rFonts w:hint="eastAsia" w:ascii="仿宋" w:hAnsi="仿宋" w:eastAsia="仿宋" w:cs="仿宋"/>
                <w:spacing w:val="12"/>
                <w:sz w:val="19"/>
                <w:szCs w:val="19"/>
              </w:rPr>
              <w:t>医疗机构现场评审工作完成率</w:t>
            </w:r>
            <w:r>
              <w:rPr>
                <w:rFonts w:hint="eastAsia" w:ascii="宋体" w:hAnsi="宋体" w:eastAsia="宋体" w:cs="宋体"/>
                <w:sz w:val="19"/>
                <w:szCs w:val="19"/>
              </w:rPr>
              <w:t>≧</w:t>
            </w:r>
            <w:r>
              <w:rPr>
                <w:rFonts w:hint="eastAsia" w:ascii="仿宋" w:hAnsi="仿宋" w:eastAsia="仿宋" w:cs="仿宋"/>
                <w:sz w:val="19"/>
                <w:szCs w:val="19"/>
              </w:rPr>
              <w:t>90%得1分，每降低或超过一个百分点扣减 1% 权重分， 扣完即止。</w:t>
            </w:r>
          </w:p>
        </w:tc>
        <w:tc>
          <w:tcPr>
            <w:tcW w:w="801" w:type="dxa"/>
          </w:tcPr>
          <w:p w14:paraId="03D8C6E6">
            <w:pPr>
              <w:spacing w:line="440" w:lineRule="auto"/>
              <w:rPr>
                <w:rFonts w:ascii="Arial"/>
              </w:rPr>
            </w:pPr>
          </w:p>
          <w:p w14:paraId="6C66735A">
            <w:pPr>
              <w:spacing w:before="62" w:line="184" w:lineRule="auto"/>
              <w:ind w:left="361"/>
              <w:rPr>
                <w:rFonts w:ascii="仿宋" w:hAnsi="仿宋" w:eastAsia="仿宋" w:cs="仿宋"/>
                <w:sz w:val="19"/>
                <w:szCs w:val="19"/>
              </w:rPr>
            </w:pPr>
            <w:r>
              <w:rPr>
                <w:rFonts w:hint="eastAsia" w:ascii="仿宋" w:hAnsi="仿宋" w:eastAsia="仿宋" w:cs="仿宋"/>
                <w:sz w:val="19"/>
                <w:szCs w:val="19"/>
              </w:rPr>
              <w:t>1</w:t>
            </w:r>
          </w:p>
        </w:tc>
        <w:tc>
          <w:tcPr>
            <w:tcW w:w="809" w:type="dxa"/>
          </w:tcPr>
          <w:p w14:paraId="24AE0038">
            <w:pPr>
              <w:spacing w:line="440" w:lineRule="auto"/>
              <w:rPr>
                <w:rFonts w:ascii="Arial"/>
              </w:rPr>
            </w:pPr>
          </w:p>
          <w:p w14:paraId="187AC7E4">
            <w:pPr>
              <w:spacing w:before="62" w:line="184" w:lineRule="auto"/>
              <w:ind w:left="362"/>
              <w:rPr>
                <w:rFonts w:ascii="仿宋" w:hAnsi="仿宋" w:eastAsia="仿宋" w:cs="仿宋"/>
                <w:sz w:val="19"/>
                <w:szCs w:val="19"/>
              </w:rPr>
            </w:pPr>
            <w:r>
              <w:rPr>
                <w:rFonts w:hint="eastAsia" w:ascii="仿宋" w:hAnsi="仿宋" w:eastAsia="仿宋" w:cs="仿宋"/>
                <w:sz w:val="19"/>
                <w:szCs w:val="19"/>
              </w:rPr>
              <w:t>1</w:t>
            </w:r>
          </w:p>
        </w:tc>
      </w:tr>
      <w:tr w14:paraId="539AC4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jc w:val="center"/>
        </w:trPr>
        <w:tc>
          <w:tcPr>
            <w:tcW w:w="1713" w:type="dxa"/>
            <w:vMerge w:val="continue"/>
          </w:tcPr>
          <w:p w14:paraId="7D0AE408">
            <w:pPr>
              <w:rPr>
                <w:rFonts w:ascii="Arial"/>
              </w:rPr>
            </w:pPr>
          </w:p>
        </w:tc>
        <w:tc>
          <w:tcPr>
            <w:tcW w:w="1526" w:type="dxa"/>
            <w:vMerge w:val="continue"/>
            <w:tcBorders>
              <w:top w:val="nil"/>
              <w:bottom w:val="nil"/>
            </w:tcBorders>
          </w:tcPr>
          <w:p w14:paraId="12668EDC">
            <w:pPr>
              <w:rPr>
                <w:rFonts w:ascii="Arial"/>
              </w:rPr>
            </w:pPr>
          </w:p>
        </w:tc>
        <w:tc>
          <w:tcPr>
            <w:tcW w:w="1507" w:type="dxa"/>
          </w:tcPr>
          <w:p w14:paraId="4804C1F1">
            <w:pPr>
              <w:spacing w:before="215" w:line="313" w:lineRule="auto"/>
              <w:ind w:right="104"/>
              <w:jc w:val="center"/>
              <w:rPr>
                <w:rFonts w:ascii="仿宋" w:hAnsi="仿宋" w:eastAsia="仿宋" w:cs="仿宋"/>
                <w:sz w:val="19"/>
                <w:szCs w:val="19"/>
              </w:rPr>
            </w:pPr>
            <w:r>
              <w:rPr>
                <w:rFonts w:hint="eastAsia" w:ascii="仿宋" w:hAnsi="仿宋" w:eastAsia="仿宋" w:cs="仿宋"/>
                <w:sz w:val="19"/>
                <w:szCs w:val="19"/>
              </w:rPr>
              <w:t>C22 及时性</w:t>
            </w:r>
          </w:p>
        </w:tc>
        <w:tc>
          <w:tcPr>
            <w:tcW w:w="1228" w:type="dxa"/>
            <w:vAlign w:val="center"/>
          </w:tcPr>
          <w:p w14:paraId="75997035">
            <w:pPr>
              <w:spacing w:before="62" w:line="228" w:lineRule="auto"/>
              <w:ind w:firstLine="392" w:firstLineChars="200"/>
              <w:rPr>
                <w:rFonts w:ascii="仿宋" w:hAnsi="仿宋" w:eastAsia="仿宋" w:cs="仿宋"/>
                <w:sz w:val="19"/>
                <w:szCs w:val="19"/>
              </w:rPr>
            </w:pPr>
            <w:r>
              <w:rPr>
                <w:rFonts w:ascii="仿宋" w:hAnsi="仿宋" w:eastAsia="仿宋" w:cs="仿宋"/>
                <w:spacing w:val="3"/>
                <w:sz w:val="19"/>
                <w:szCs w:val="19"/>
              </w:rPr>
              <w:t>及</w:t>
            </w:r>
            <w:r>
              <w:rPr>
                <w:rFonts w:ascii="仿宋" w:hAnsi="仿宋" w:eastAsia="仿宋" w:cs="仿宋"/>
                <w:spacing w:val="2"/>
                <w:sz w:val="19"/>
                <w:szCs w:val="19"/>
              </w:rPr>
              <w:t>时</w:t>
            </w:r>
          </w:p>
        </w:tc>
        <w:tc>
          <w:tcPr>
            <w:tcW w:w="2563" w:type="dxa"/>
            <w:vMerge w:val="continue"/>
            <w:tcBorders>
              <w:top w:val="nil"/>
              <w:bottom w:val="nil"/>
            </w:tcBorders>
          </w:tcPr>
          <w:p w14:paraId="48D6BF4C">
            <w:pPr>
              <w:rPr>
                <w:rFonts w:ascii="Arial"/>
              </w:rPr>
            </w:pPr>
          </w:p>
        </w:tc>
        <w:tc>
          <w:tcPr>
            <w:tcW w:w="3808" w:type="dxa"/>
          </w:tcPr>
          <w:p w14:paraId="4CC3F1CC">
            <w:pPr>
              <w:spacing w:before="58" w:line="278" w:lineRule="auto"/>
              <w:ind w:left="119" w:right="101"/>
              <w:rPr>
                <w:rFonts w:ascii="仿宋" w:hAnsi="仿宋" w:eastAsia="仿宋" w:cs="仿宋"/>
                <w:sz w:val="19"/>
                <w:szCs w:val="19"/>
              </w:rPr>
            </w:pPr>
            <w:r>
              <w:rPr>
                <w:rFonts w:ascii="仿宋" w:hAnsi="仿宋" w:eastAsia="仿宋" w:cs="仿宋"/>
                <w:spacing w:val="14"/>
                <w:sz w:val="19"/>
                <w:szCs w:val="19"/>
              </w:rPr>
              <w:t>按要求在规定时间内完成</w:t>
            </w:r>
            <w:r>
              <w:rPr>
                <w:rFonts w:hint="eastAsia" w:ascii="仿宋" w:hAnsi="仿宋" w:eastAsia="仿宋" w:cs="仿宋"/>
                <w:spacing w:val="14"/>
                <w:sz w:val="19"/>
                <w:szCs w:val="19"/>
              </w:rPr>
              <w:t>，</w:t>
            </w:r>
            <w:r>
              <w:rPr>
                <w:rFonts w:ascii="仿宋" w:hAnsi="仿宋" w:eastAsia="仿宋" w:cs="仿宋"/>
                <w:spacing w:val="14"/>
                <w:sz w:val="19"/>
                <w:szCs w:val="19"/>
              </w:rPr>
              <w:t>完成得权</w:t>
            </w:r>
            <w:r>
              <w:rPr>
                <w:rFonts w:ascii="仿宋" w:hAnsi="仿宋" w:eastAsia="仿宋" w:cs="仿宋"/>
                <w:spacing w:val="12"/>
                <w:sz w:val="19"/>
                <w:szCs w:val="19"/>
              </w:rPr>
              <w:t>重</w:t>
            </w:r>
            <w:r>
              <w:rPr>
                <w:rFonts w:ascii="仿宋" w:hAnsi="仿宋" w:eastAsia="仿宋" w:cs="仿宋"/>
                <w:spacing w:val="6"/>
                <w:sz w:val="19"/>
                <w:szCs w:val="19"/>
              </w:rPr>
              <w:t>分</w:t>
            </w:r>
            <w:r>
              <w:rPr>
                <w:rFonts w:ascii="仿宋" w:hAnsi="仿宋" w:eastAsia="仿宋" w:cs="仿宋"/>
                <w:spacing w:val="4"/>
                <w:sz w:val="19"/>
                <w:szCs w:val="19"/>
              </w:rPr>
              <w:t>，</w:t>
            </w:r>
            <w:r>
              <w:rPr>
                <w:rFonts w:ascii="仿宋" w:hAnsi="仿宋" w:eastAsia="仿宋" w:cs="仿宋"/>
                <w:spacing w:val="3"/>
                <w:sz w:val="19"/>
                <w:szCs w:val="19"/>
              </w:rPr>
              <w:t>每发现一项工作未及时完成，扣 20%</w:t>
            </w:r>
            <w:r>
              <w:rPr>
                <w:rFonts w:ascii="仿宋" w:hAnsi="仿宋" w:eastAsia="仿宋" w:cs="仿宋"/>
                <w:spacing w:val="-8"/>
                <w:sz w:val="19"/>
                <w:szCs w:val="19"/>
              </w:rPr>
              <w:t>权</w:t>
            </w:r>
            <w:r>
              <w:rPr>
                <w:rFonts w:ascii="仿宋" w:hAnsi="仿宋" w:eastAsia="仿宋" w:cs="仿宋"/>
                <w:spacing w:val="-5"/>
                <w:sz w:val="19"/>
                <w:szCs w:val="19"/>
              </w:rPr>
              <w:t>重</w:t>
            </w:r>
            <w:r>
              <w:rPr>
                <w:rFonts w:ascii="仿宋" w:hAnsi="仿宋" w:eastAsia="仿宋" w:cs="仿宋"/>
                <w:spacing w:val="-4"/>
                <w:sz w:val="19"/>
                <w:szCs w:val="19"/>
              </w:rPr>
              <w:t>分， 扣完为止。</w:t>
            </w:r>
          </w:p>
        </w:tc>
        <w:tc>
          <w:tcPr>
            <w:tcW w:w="801" w:type="dxa"/>
          </w:tcPr>
          <w:p w14:paraId="3EB8A320">
            <w:pPr>
              <w:spacing w:line="343" w:lineRule="auto"/>
              <w:rPr>
                <w:rFonts w:ascii="Arial"/>
              </w:rPr>
            </w:pPr>
          </w:p>
          <w:p w14:paraId="46267C29">
            <w:pPr>
              <w:spacing w:before="62" w:line="184" w:lineRule="auto"/>
              <w:ind w:left="359"/>
              <w:rPr>
                <w:rFonts w:ascii="仿宋" w:hAnsi="仿宋" w:eastAsia="仿宋" w:cs="仿宋"/>
                <w:sz w:val="19"/>
                <w:szCs w:val="19"/>
              </w:rPr>
            </w:pPr>
            <w:r>
              <w:rPr>
                <w:rFonts w:hint="eastAsia" w:ascii="仿宋" w:hAnsi="仿宋" w:eastAsia="仿宋" w:cs="仿宋"/>
                <w:sz w:val="19"/>
                <w:szCs w:val="19"/>
              </w:rPr>
              <w:t>1</w:t>
            </w:r>
          </w:p>
        </w:tc>
        <w:tc>
          <w:tcPr>
            <w:tcW w:w="809" w:type="dxa"/>
          </w:tcPr>
          <w:p w14:paraId="0B1FCB60">
            <w:pPr>
              <w:spacing w:line="343" w:lineRule="auto"/>
              <w:rPr>
                <w:rFonts w:ascii="Arial"/>
              </w:rPr>
            </w:pPr>
          </w:p>
          <w:p w14:paraId="0CB39E05">
            <w:pPr>
              <w:spacing w:before="62" w:line="184" w:lineRule="auto"/>
              <w:ind w:left="360"/>
              <w:rPr>
                <w:rFonts w:ascii="仿宋" w:hAnsi="仿宋" w:eastAsia="仿宋" w:cs="仿宋"/>
                <w:sz w:val="19"/>
                <w:szCs w:val="19"/>
              </w:rPr>
            </w:pPr>
            <w:r>
              <w:rPr>
                <w:rFonts w:hint="eastAsia" w:ascii="仿宋" w:hAnsi="仿宋" w:eastAsia="仿宋" w:cs="仿宋"/>
                <w:sz w:val="19"/>
                <w:szCs w:val="19"/>
              </w:rPr>
              <w:t>1</w:t>
            </w:r>
          </w:p>
        </w:tc>
      </w:tr>
      <w:tr w14:paraId="1D8405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713" w:type="dxa"/>
            <w:vMerge w:val="continue"/>
          </w:tcPr>
          <w:p w14:paraId="3C154EFF">
            <w:pPr>
              <w:rPr>
                <w:rFonts w:ascii="Arial"/>
              </w:rPr>
            </w:pPr>
          </w:p>
        </w:tc>
        <w:tc>
          <w:tcPr>
            <w:tcW w:w="1526" w:type="dxa"/>
            <w:vMerge w:val="continue"/>
            <w:tcBorders>
              <w:top w:val="nil"/>
            </w:tcBorders>
          </w:tcPr>
          <w:p w14:paraId="5A5132BD">
            <w:pPr>
              <w:rPr>
                <w:rFonts w:ascii="Arial"/>
              </w:rPr>
            </w:pPr>
          </w:p>
        </w:tc>
        <w:tc>
          <w:tcPr>
            <w:tcW w:w="1507" w:type="dxa"/>
          </w:tcPr>
          <w:p w14:paraId="0A6F3419">
            <w:pPr>
              <w:spacing w:before="58" w:line="312" w:lineRule="exact"/>
              <w:ind w:firstLine="190" w:firstLineChars="100"/>
              <w:rPr>
                <w:rFonts w:ascii="仿宋" w:hAnsi="仿宋" w:eastAsia="仿宋" w:cs="仿宋"/>
                <w:sz w:val="19"/>
                <w:szCs w:val="19"/>
              </w:rPr>
            </w:pPr>
            <w:r>
              <w:rPr>
                <w:rFonts w:hint="eastAsia" w:ascii="仿宋" w:hAnsi="仿宋" w:eastAsia="仿宋" w:cs="仿宋"/>
                <w:sz w:val="19"/>
                <w:szCs w:val="19"/>
              </w:rPr>
              <w:t>C23 完成质量</w:t>
            </w:r>
          </w:p>
        </w:tc>
        <w:tc>
          <w:tcPr>
            <w:tcW w:w="1228" w:type="dxa"/>
            <w:vAlign w:val="center"/>
          </w:tcPr>
          <w:p w14:paraId="203EC5A9">
            <w:pPr>
              <w:spacing w:before="58" w:line="312" w:lineRule="exact"/>
              <w:jc w:val="center"/>
              <w:rPr>
                <w:rFonts w:ascii="仿宋" w:hAnsi="仿宋" w:eastAsia="仿宋" w:cs="仿宋"/>
                <w:sz w:val="19"/>
                <w:szCs w:val="19"/>
              </w:rPr>
            </w:pPr>
            <w:r>
              <w:rPr>
                <w:rFonts w:hint="eastAsia" w:ascii="仿宋" w:hAnsi="仿宋" w:eastAsia="仿宋" w:cs="仿宋"/>
                <w:sz w:val="19"/>
                <w:szCs w:val="19"/>
              </w:rPr>
              <w:t>符合要求</w:t>
            </w:r>
          </w:p>
        </w:tc>
        <w:tc>
          <w:tcPr>
            <w:tcW w:w="2563" w:type="dxa"/>
            <w:vMerge w:val="continue"/>
            <w:tcBorders>
              <w:top w:val="nil"/>
            </w:tcBorders>
          </w:tcPr>
          <w:p w14:paraId="2BD20D65">
            <w:pPr>
              <w:rPr>
                <w:rFonts w:ascii="Arial"/>
              </w:rPr>
            </w:pPr>
          </w:p>
        </w:tc>
        <w:tc>
          <w:tcPr>
            <w:tcW w:w="3808" w:type="dxa"/>
          </w:tcPr>
          <w:p w14:paraId="7329EB3A">
            <w:pPr>
              <w:spacing w:before="58" w:line="265" w:lineRule="auto"/>
              <w:ind w:left="123" w:right="104" w:hanging="4"/>
              <w:rPr>
                <w:rFonts w:ascii="仿宋" w:hAnsi="仿宋" w:eastAsia="仿宋" w:cs="仿宋"/>
                <w:sz w:val="19"/>
                <w:szCs w:val="19"/>
              </w:rPr>
            </w:pPr>
            <w:r>
              <w:rPr>
                <w:rFonts w:hint="eastAsia" w:ascii="仿宋" w:hAnsi="仿宋" w:eastAsia="仿宋" w:cs="仿宋"/>
                <w:sz w:val="19"/>
                <w:szCs w:val="19"/>
              </w:rPr>
              <w:t>100%符合要求和标准 得满分， 每发现一项不合格扣 20%权重分， 扣完为止。</w:t>
            </w:r>
          </w:p>
        </w:tc>
        <w:tc>
          <w:tcPr>
            <w:tcW w:w="801" w:type="dxa"/>
          </w:tcPr>
          <w:p w14:paraId="49CC7E9F">
            <w:pPr>
              <w:spacing w:before="251" w:line="184" w:lineRule="auto"/>
              <w:ind w:left="361"/>
              <w:rPr>
                <w:rFonts w:ascii="仿宋" w:hAnsi="仿宋" w:eastAsia="仿宋" w:cs="仿宋"/>
                <w:sz w:val="19"/>
                <w:szCs w:val="19"/>
              </w:rPr>
            </w:pPr>
            <w:r>
              <w:rPr>
                <w:rFonts w:hint="eastAsia" w:ascii="仿宋" w:hAnsi="仿宋" w:eastAsia="仿宋" w:cs="仿宋"/>
                <w:sz w:val="19"/>
                <w:szCs w:val="19"/>
              </w:rPr>
              <w:t>1</w:t>
            </w:r>
          </w:p>
        </w:tc>
        <w:tc>
          <w:tcPr>
            <w:tcW w:w="809" w:type="dxa"/>
          </w:tcPr>
          <w:p w14:paraId="06E45845">
            <w:pPr>
              <w:spacing w:before="251" w:line="184" w:lineRule="auto"/>
              <w:ind w:left="362"/>
              <w:rPr>
                <w:rFonts w:ascii="仿宋" w:hAnsi="仿宋" w:eastAsia="仿宋" w:cs="仿宋"/>
                <w:sz w:val="19"/>
                <w:szCs w:val="19"/>
              </w:rPr>
            </w:pPr>
            <w:r>
              <w:rPr>
                <w:rFonts w:hint="eastAsia" w:ascii="仿宋" w:hAnsi="仿宋" w:eastAsia="仿宋" w:cs="仿宋"/>
                <w:sz w:val="19"/>
                <w:szCs w:val="19"/>
              </w:rPr>
              <w:t>1</w:t>
            </w:r>
          </w:p>
        </w:tc>
      </w:tr>
      <w:tr w14:paraId="2BD09D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jc w:val="center"/>
        </w:trPr>
        <w:tc>
          <w:tcPr>
            <w:tcW w:w="1713" w:type="dxa"/>
            <w:vMerge w:val="continue"/>
          </w:tcPr>
          <w:p w14:paraId="0F8E8E7E">
            <w:pPr>
              <w:rPr>
                <w:rFonts w:ascii="Arial"/>
              </w:rPr>
            </w:pPr>
          </w:p>
        </w:tc>
        <w:tc>
          <w:tcPr>
            <w:tcW w:w="1526" w:type="dxa"/>
            <w:vMerge w:val="restart"/>
            <w:vAlign w:val="center"/>
          </w:tcPr>
          <w:p w14:paraId="50DCDB1F">
            <w:pPr>
              <w:spacing w:before="58" w:line="267" w:lineRule="auto"/>
              <w:ind w:left="119" w:right="105" w:hanging="10"/>
              <w:jc w:val="center"/>
              <w:rPr>
                <w:rFonts w:ascii="仿宋" w:hAnsi="仿宋" w:eastAsia="仿宋" w:cs="仿宋"/>
                <w:spacing w:val="10"/>
                <w:sz w:val="19"/>
                <w:szCs w:val="19"/>
              </w:rPr>
            </w:pPr>
            <w:r>
              <w:rPr>
                <w:rFonts w:ascii="仿宋" w:hAnsi="仿宋" w:eastAsia="仿宋" w:cs="仿宋"/>
                <w:sz w:val="19"/>
                <w:szCs w:val="19"/>
              </w:rPr>
              <w:t>C</w:t>
            </w:r>
            <w:r>
              <w:rPr>
                <w:rFonts w:ascii="仿宋" w:hAnsi="仿宋" w:eastAsia="仿宋" w:cs="仿宋"/>
                <w:spacing w:val="10"/>
                <w:sz w:val="19"/>
                <w:szCs w:val="19"/>
              </w:rPr>
              <w:t xml:space="preserve">3 </w:t>
            </w:r>
            <w:r>
              <w:rPr>
                <w:rFonts w:hint="eastAsia" w:ascii="仿宋" w:hAnsi="仿宋" w:eastAsia="仿宋" w:cs="仿宋"/>
                <w:spacing w:val="10"/>
                <w:sz w:val="19"/>
                <w:szCs w:val="19"/>
              </w:rPr>
              <w:t>食品安全标准跟踪评价工作</w:t>
            </w:r>
          </w:p>
          <w:p w14:paraId="14287285">
            <w:pPr>
              <w:spacing w:before="58" w:line="267" w:lineRule="auto"/>
              <w:ind w:left="119" w:right="105" w:hanging="10"/>
              <w:jc w:val="center"/>
              <w:rPr>
                <w:rFonts w:ascii="仿宋" w:hAnsi="仿宋" w:eastAsia="仿宋" w:cs="仿宋"/>
                <w:sz w:val="19"/>
                <w:szCs w:val="19"/>
              </w:rPr>
            </w:pPr>
            <w:r>
              <w:rPr>
                <w:rFonts w:ascii="仿宋" w:hAnsi="仿宋" w:eastAsia="仿宋" w:cs="仿宋"/>
                <w:spacing w:val="11"/>
                <w:sz w:val="19"/>
                <w:szCs w:val="19"/>
              </w:rPr>
              <w:t>(</w:t>
            </w:r>
            <w:r>
              <w:rPr>
                <w:rFonts w:hint="eastAsia" w:ascii="仿宋" w:hAnsi="仿宋" w:eastAsia="仿宋" w:cs="仿宋"/>
                <w:spacing w:val="11"/>
                <w:sz w:val="19"/>
                <w:szCs w:val="19"/>
              </w:rPr>
              <w:t>2</w:t>
            </w:r>
            <w:r>
              <w:rPr>
                <w:rFonts w:ascii="仿宋" w:hAnsi="仿宋" w:eastAsia="仿宋" w:cs="仿宋"/>
                <w:spacing w:val="11"/>
                <w:sz w:val="19"/>
                <w:szCs w:val="19"/>
              </w:rPr>
              <w:t xml:space="preserve"> 分</w:t>
            </w:r>
            <w:r>
              <w:rPr>
                <w:rFonts w:ascii="仿宋" w:hAnsi="仿宋" w:eastAsia="仿宋" w:cs="仿宋"/>
                <w:spacing w:val="10"/>
                <w:sz w:val="19"/>
                <w:szCs w:val="19"/>
              </w:rPr>
              <w:t>)</w:t>
            </w:r>
          </w:p>
        </w:tc>
        <w:tc>
          <w:tcPr>
            <w:tcW w:w="1507" w:type="dxa"/>
            <w:vAlign w:val="center"/>
          </w:tcPr>
          <w:p w14:paraId="06A452D6">
            <w:pPr>
              <w:spacing w:before="59" w:line="312" w:lineRule="exact"/>
              <w:ind w:left="109"/>
              <w:rPr>
                <w:rFonts w:ascii="仿宋" w:hAnsi="仿宋" w:eastAsia="仿宋" w:cs="仿宋"/>
                <w:sz w:val="19"/>
                <w:szCs w:val="19"/>
              </w:rPr>
            </w:pPr>
            <w:r>
              <w:rPr>
                <w:rFonts w:ascii="仿宋" w:hAnsi="仿宋" w:eastAsia="仿宋" w:cs="仿宋"/>
                <w:spacing w:val="-2"/>
                <w:position w:val="8"/>
                <w:sz w:val="19"/>
                <w:szCs w:val="19"/>
              </w:rPr>
              <w:t>C</w:t>
            </w:r>
            <w:r>
              <w:rPr>
                <w:rFonts w:ascii="仿宋" w:hAnsi="仿宋" w:eastAsia="仿宋" w:cs="仿宋"/>
                <w:spacing w:val="-4"/>
                <w:position w:val="8"/>
                <w:sz w:val="19"/>
                <w:szCs w:val="19"/>
              </w:rPr>
              <w:t>3</w:t>
            </w:r>
            <w:r>
              <w:rPr>
                <w:rFonts w:ascii="仿宋" w:hAnsi="仿宋" w:eastAsia="仿宋" w:cs="仿宋"/>
                <w:spacing w:val="-2"/>
                <w:position w:val="8"/>
                <w:sz w:val="19"/>
                <w:szCs w:val="19"/>
              </w:rPr>
              <w:t xml:space="preserve">1 </w:t>
            </w:r>
            <w:r>
              <w:rPr>
                <w:rFonts w:hint="eastAsia" w:ascii="仿宋" w:hAnsi="仿宋" w:eastAsia="仿宋" w:cs="仿宋"/>
                <w:spacing w:val="-2"/>
                <w:position w:val="8"/>
                <w:sz w:val="19"/>
                <w:szCs w:val="19"/>
              </w:rPr>
              <w:t>食品安全标准备案完成情况</w:t>
            </w:r>
          </w:p>
        </w:tc>
        <w:tc>
          <w:tcPr>
            <w:tcW w:w="1228" w:type="dxa"/>
            <w:vAlign w:val="center"/>
          </w:tcPr>
          <w:p w14:paraId="6EB3EA5F">
            <w:pPr>
              <w:spacing w:before="215" w:line="228" w:lineRule="auto"/>
              <w:jc w:val="center"/>
              <w:rPr>
                <w:rFonts w:ascii="仿宋" w:hAnsi="仿宋" w:eastAsia="仿宋" w:cs="仿宋"/>
                <w:sz w:val="19"/>
                <w:szCs w:val="19"/>
              </w:rPr>
            </w:pPr>
            <w:r>
              <w:rPr>
                <w:rFonts w:hint="eastAsia" w:ascii="仿宋" w:hAnsi="仿宋" w:eastAsia="仿宋" w:cs="仿宋"/>
                <w:sz w:val="19"/>
                <w:szCs w:val="19"/>
              </w:rPr>
              <w:t>≧300件</w:t>
            </w:r>
          </w:p>
        </w:tc>
        <w:tc>
          <w:tcPr>
            <w:tcW w:w="2563" w:type="dxa"/>
            <w:vMerge w:val="restart"/>
            <w:vAlign w:val="center"/>
          </w:tcPr>
          <w:p w14:paraId="6C4B1906">
            <w:pPr>
              <w:spacing w:before="59" w:line="264" w:lineRule="auto"/>
              <w:ind w:right="104"/>
              <w:rPr>
                <w:rFonts w:ascii="仿宋" w:hAnsi="仿宋" w:eastAsia="仿宋" w:cs="仿宋"/>
                <w:sz w:val="19"/>
                <w:szCs w:val="19"/>
              </w:rPr>
            </w:pPr>
            <w:r>
              <w:rPr>
                <w:rFonts w:hint="eastAsia" w:ascii="仿宋" w:hAnsi="仿宋" w:eastAsia="仿宋" w:cs="仿宋"/>
                <w:sz w:val="19"/>
                <w:szCs w:val="19"/>
              </w:rPr>
              <w:t>考察南京市卫生监督所食品安全标准备案工作和食品安全标准跟踪评价工作完成情况。</w:t>
            </w:r>
          </w:p>
        </w:tc>
        <w:tc>
          <w:tcPr>
            <w:tcW w:w="3808" w:type="dxa"/>
          </w:tcPr>
          <w:p w14:paraId="5C6B711B">
            <w:pPr>
              <w:spacing w:before="59" w:line="264" w:lineRule="auto"/>
              <w:ind w:left="122" w:right="103" w:firstLine="22"/>
              <w:rPr>
                <w:rFonts w:ascii="仿宋" w:hAnsi="仿宋" w:eastAsia="仿宋" w:cs="仿宋"/>
                <w:sz w:val="19"/>
                <w:szCs w:val="19"/>
              </w:rPr>
            </w:pPr>
            <w:r>
              <w:rPr>
                <w:rFonts w:hint="eastAsia" w:ascii="仿宋" w:hAnsi="仿宋" w:eastAsia="仿宋" w:cs="仿宋"/>
                <w:sz w:val="19"/>
                <w:szCs w:val="19"/>
              </w:rPr>
              <w:t>全年完成食品标准备案工作≧300件得满分，每降低或超过一个百分点扣减 1% 权重分， 扣完即止。</w:t>
            </w:r>
          </w:p>
        </w:tc>
        <w:tc>
          <w:tcPr>
            <w:tcW w:w="801" w:type="dxa"/>
          </w:tcPr>
          <w:p w14:paraId="2FCCAC14">
            <w:pPr>
              <w:spacing w:before="252" w:line="184" w:lineRule="auto"/>
              <w:ind w:left="356"/>
              <w:rPr>
                <w:rFonts w:ascii="仿宋" w:hAnsi="仿宋" w:eastAsia="仿宋" w:cs="仿宋"/>
                <w:sz w:val="19"/>
                <w:szCs w:val="19"/>
              </w:rPr>
            </w:pPr>
            <w:r>
              <w:rPr>
                <w:rFonts w:hint="eastAsia" w:ascii="仿宋" w:hAnsi="仿宋" w:eastAsia="仿宋" w:cs="仿宋"/>
                <w:sz w:val="19"/>
                <w:szCs w:val="19"/>
              </w:rPr>
              <w:t>1</w:t>
            </w:r>
          </w:p>
        </w:tc>
        <w:tc>
          <w:tcPr>
            <w:tcW w:w="809" w:type="dxa"/>
          </w:tcPr>
          <w:p w14:paraId="7A0D7F29">
            <w:pPr>
              <w:spacing w:before="252" w:line="184" w:lineRule="auto"/>
              <w:ind w:left="357"/>
              <w:rPr>
                <w:rFonts w:ascii="仿宋" w:hAnsi="仿宋" w:eastAsia="仿宋" w:cs="仿宋"/>
                <w:sz w:val="19"/>
                <w:szCs w:val="19"/>
              </w:rPr>
            </w:pPr>
            <w:r>
              <w:rPr>
                <w:rFonts w:hint="eastAsia" w:ascii="仿宋" w:hAnsi="仿宋" w:eastAsia="仿宋" w:cs="仿宋"/>
                <w:sz w:val="19"/>
                <w:szCs w:val="19"/>
              </w:rPr>
              <w:t>1</w:t>
            </w:r>
          </w:p>
        </w:tc>
      </w:tr>
      <w:tr w14:paraId="035F92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7" w:hRule="atLeast"/>
          <w:jc w:val="center"/>
        </w:trPr>
        <w:tc>
          <w:tcPr>
            <w:tcW w:w="1713" w:type="dxa"/>
            <w:vMerge w:val="continue"/>
          </w:tcPr>
          <w:p w14:paraId="18E104EB">
            <w:pPr>
              <w:rPr>
                <w:rFonts w:ascii="Arial"/>
              </w:rPr>
            </w:pPr>
          </w:p>
        </w:tc>
        <w:tc>
          <w:tcPr>
            <w:tcW w:w="1526" w:type="dxa"/>
            <w:vMerge w:val="continue"/>
          </w:tcPr>
          <w:p w14:paraId="5363306F">
            <w:pPr>
              <w:spacing w:before="58" w:line="267" w:lineRule="auto"/>
              <w:ind w:left="119" w:right="105" w:hanging="10"/>
              <w:rPr>
                <w:rFonts w:ascii="仿宋" w:hAnsi="仿宋" w:eastAsia="仿宋" w:cs="仿宋"/>
                <w:sz w:val="19"/>
                <w:szCs w:val="19"/>
              </w:rPr>
            </w:pPr>
          </w:p>
        </w:tc>
        <w:tc>
          <w:tcPr>
            <w:tcW w:w="1507" w:type="dxa"/>
            <w:vAlign w:val="center"/>
          </w:tcPr>
          <w:p w14:paraId="30420464">
            <w:pPr>
              <w:spacing w:line="227" w:lineRule="auto"/>
              <w:ind w:left="122"/>
              <w:rPr>
                <w:rFonts w:ascii="仿宋" w:hAnsi="仿宋" w:eastAsia="仿宋" w:cs="仿宋"/>
                <w:spacing w:val="1"/>
                <w:sz w:val="19"/>
                <w:szCs w:val="19"/>
              </w:rPr>
            </w:pPr>
            <w:r>
              <w:rPr>
                <w:rFonts w:hint="eastAsia" w:ascii="仿宋" w:hAnsi="仿宋" w:eastAsia="仿宋" w:cs="仿宋"/>
                <w:spacing w:val="1"/>
                <w:sz w:val="19"/>
                <w:szCs w:val="19"/>
              </w:rPr>
              <w:t>C32 食品安全标准跟踪评价报告完成情况和完成率</w:t>
            </w:r>
          </w:p>
        </w:tc>
        <w:tc>
          <w:tcPr>
            <w:tcW w:w="1228" w:type="dxa"/>
            <w:vAlign w:val="center"/>
          </w:tcPr>
          <w:p w14:paraId="0EBBCEF5">
            <w:pPr>
              <w:spacing w:before="215" w:line="228" w:lineRule="auto"/>
              <w:jc w:val="center"/>
              <w:rPr>
                <w:rFonts w:ascii="仿宋" w:hAnsi="仿宋" w:eastAsia="仿宋" w:cs="仿宋"/>
                <w:spacing w:val="2"/>
                <w:sz w:val="19"/>
                <w:szCs w:val="19"/>
              </w:rPr>
            </w:pPr>
            <w:r>
              <w:rPr>
                <w:rFonts w:hint="eastAsia" w:ascii="仿宋" w:hAnsi="仿宋" w:eastAsia="仿宋" w:cs="仿宋"/>
                <w:sz w:val="19"/>
                <w:szCs w:val="19"/>
              </w:rPr>
              <w:t>=100%</w:t>
            </w:r>
          </w:p>
        </w:tc>
        <w:tc>
          <w:tcPr>
            <w:tcW w:w="2563" w:type="dxa"/>
            <w:vMerge w:val="continue"/>
          </w:tcPr>
          <w:p w14:paraId="75B71E2D">
            <w:pPr>
              <w:spacing w:before="59" w:line="264" w:lineRule="auto"/>
              <w:ind w:right="104"/>
              <w:rPr>
                <w:rFonts w:ascii="仿宋" w:hAnsi="仿宋" w:eastAsia="仿宋" w:cs="仿宋"/>
                <w:spacing w:val="22"/>
                <w:sz w:val="19"/>
                <w:szCs w:val="19"/>
              </w:rPr>
            </w:pPr>
          </w:p>
        </w:tc>
        <w:tc>
          <w:tcPr>
            <w:tcW w:w="3808" w:type="dxa"/>
          </w:tcPr>
          <w:p w14:paraId="45AA506F">
            <w:pPr>
              <w:spacing w:before="59" w:line="264" w:lineRule="auto"/>
              <w:ind w:right="103"/>
              <w:rPr>
                <w:rFonts w:ascii="仿宋" w:hAnsi="仿宋" w:eastAsia="仿宋" w:cs="仿宋"/>
                <w:spacing w:val="12"/>
                <w:sz w:val="19"/>
                <w:szCs w:val="19"/>
              </w:rPr>
            </w:pPr>
            <w:r>
              <w:rPr>
                <w:rFonts w:hint="eastAsia" w:ascii="仿宋" w:hAnsi="仿宋" w:eastAsia="仿宋" w:cs="仿宋"/>
                <w:sz w:val="19"/>
                <w:szCs w:val="19"/>
              </w:rPr>
              <w:t>按相关要求完成食品安全标准跟踪评价报告得1分，否则不得分。</w:t>
            </w:r>
          </w:p>
        </w:tc>
        <w:tc>
          <w:tcPr>
            <w:tcW w:w="801" w:type="dxa"/>
          </w:tcPr>
          <w:p w14:paraId="76693188">
            <w:pPr>
              <w:spacing w:before="252" w:line="184" w:lineRule="auto"/>
              <w:ind w:left="356"/>
              <w:rPr>
                <w:rFonts w:ascii="仿宋" w:hAnsi="仿宋" w:eastAsia="仿宋" w:cs="仿宋"/>
                <w:sz w:val="19"/>
                <w:szCs w:val="19"/>
              </w:rPr>
            </w:pPr>
            <w:r>
              <w:rPr>
                <w:rFonts w:hint="eastAsia" w:ascii="仿宋" w:hAnsi="仿宋" w:eastAsia="仿宋" w:cs="仿宋"/>
                <w:sz w:val="19"/>
                <w:szCs w:val="19"/>
              </w:rPr>
              <w:t>1</w:t>
            </w:r>
          </w:p>
        </w:tc>
        <w:tc>
          <w:tcPr>
            <w:tcW w:w="809" w:type="dxa"/>
          </w:tcPr>
          <w:p w14:paraId="1CBFB782">
            <w:pPr>
              <w:spacing w:before="252" w:line="184" w:lineRule="auto"/>
              <w:ind w:left="357"/>
              <w:rPr>
                <w:rFonts w:ascii="仿宋" w:hAnsi="仿宋" w:eastAsia="仿宋" w:cs="仿宋"/>
                <w:sz w:val="19"/>
                <w:szCs w:val="19"/>
              </w:rPr>
            </w:pPr>
            <w:r>
              <w:rPr>
                <w:rFonts w:hint="eastAsia" w:ascii="仿宋" w:hAnsi="仿宋" w:eastAsia="仿宋" w:cs="仿宋"/>
                <w:sz w:val="19"/>
                <w:szCs w:val="19"/>
              </w:rPr>
              <w:t>1</w:t>
            </w:r>
          </w:p>
        </w:tc>
      </w:tr>
    </w:tbl>
    <w:p w14:paraId="21AD7B9C"/>
    <w:p w14:paraId="692E7109"/>
    <w:p w14:paraId="3456ADC7"/>
    <w:p w14:paraId="6DA86636"/>
    <w:p w14:paraId="2F266A30"/>
    <w:p w14:paraId="705CDCBC"/>
    <w:p w14:paraId="08CAA5CF"/>
    <w:p w14:paraId="0D362571"/>
    <w:tbl>
      <w:tblPr>
        <w:tblStyle w:val="10"/>
        <w:tblW w:w="1395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13"/>
        <w:gridCol w:w="1526"/>
        <w:gridCol w:w="1507"/>
        <w:gridCol w:w="1228"/>
        <w:gridCol w:w="2563"/>
        <w:gridCol w:w="3808"/>
        <w:gridCol w:w="801"/>
        <w:gridCol w:w="809"/>
      </w:tblGrid>
      <w:tr w14:paraId="2B37FB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jc w:val="center"/>
        </w:trPr>
        <w:tc>
          <w:tcPr>
            <w:tcW w:w="4746" w:type="dxa"/>
            <w:gridSpan w:val="3"/>
          </w:tcPr>
          <w:p w14:paraId="61309879">
            <w:pPr>
              <w:spacing w:before="59" w:line="229" w:lineRule="auto"/>
              <w:ind w:left="2176"/>
              <w:rPr>
                <w:rFonts w:ascii="黑体" w:hAnsi="黑体" w:eastAsia="黑体" w:cs="黑体"/>
                <w:sz w:val="19"/>
                <w:szCs w:val="19"/>
              </w:rPr>
            </w:pPr>
            <w:r>
              <w:rPr>
                <w:rFonts w:ascii="黑体" w:hAnsi="黑体" w:eastAsia="黑体" w:cs="黑体"/>
                <w:spacing w:val="7"/>
                <w:sz w:val="19"/>
                <w:szCs w:val="19"/>
              </w:rPr>
              <w:t>指</w:t>
            </w:r>
            <w:r>
              <w:rPr>
                <w:rFonts w:ascii="黑体" w:hAnsi="黑体" w:eastAsia="黑体" w:cs="黑体"/>
                <w:spacing w:val="6"/>
                <w:sz w:val="19"/>
                <w:szCs w:val="19"/>
              </w:rPr>
              <w:t>标</w:t>
            </w:r>
          </w:p>
        </w:tc>
        <w:tc>
          <w:tcPr>
            <w:tcW w:w="1228" w:type="dxa"/>
            <w:vMerge w:val="restart"/>
            <w:tcBorders>
              <w:bottom w:val="nil"/>
            </w:tcBorders>
          </w:tcPr>
          <w:p w14:paraId="7C2B0807">
            <w:pPr>
              <w:spacing w:before="234" w:line="230" w:lineRule="auto"/>
              <w:ind w:left="313"/>
              <w:rPr>
                <w:rFonts w:ascii="黑体" w:hAnsi="黑体" w:eastAsia="黑体" w:cs="黑体"/>
                <w:sz w:val="19"/>
                <w:szCs w:val="19"/>
              </w:rPr>
            </w:pPr>
            <w:r>
              <w:rPr>
                <w:rFonts w:ascii="黑体" w:hAnsi="黑体" w:eastAsia="黑体" w:cs="黑体"/>
                <w:spacing w:val="9"/>
                <w:sz w:val="19"/>
                <w:szCs w:val="19"/>
              </w:rPr>
              <w:t>标</w:t>
            </w:r>
            <w:r>
              <w:rPr>
                <w:rFonts w:ascii="黑体" w:hAnsi="黑体" w:eastAsia="黑体" w:cs="黑体"/>
                <w:spacing w:val="8"/>
                <w:sz w:val="19"/>
                <w:szCs w:val="19"/>
              </w:rPr>
              <w:t>准值</w:t>
            </w:r>
          </w:p>
        </w:tc>
        <w:tc>
          <w:tcPr>
            <w:tcW w:w="2563" w:type="dxa"/>
            <w:vMerge w:val="restart"/>
            <w:tcBorders>
              <w:bottom w:val="nil"/>
            </w:tcBorders>
          </w:tcPr>
          <w:p w14:paraId="19C9CA50">
            <w:pPr>
              <w:spacing w:before="234" w:line="228" w:lineRule="auto"/>
              <w:ind w:left="886"/>
              <w:rPr>
                <w:rFonts w:ascii="黑体" w:hAnsi="黑体" w:eastAsia="黑体" w:cs="黑体"/>
                <w:sz w:val="19"/>
                <w:szCs w:val="19"/>
              </w:rPr>
            </w:pPr>
            <w:r>
              <w:rPr>
                <w:rFonts w:ascii="黑体" w:hAnsi="黑体" w:eastAsia="黑体" w:cs="黑体"/>
                <w:spacing w:val="8"/>
                <w:sz w:val="19"/>
                <w:szCs w:val="19"/>
              </w:rPr>
              <w:t>指标解释</w:t>
            </w:r>
          </w:p>
        </w:tc>
        <w:tc>
          <w:tcPr>
            <w:tcW w:w="3808" w:type="dxa"/>
            <w:vMerge w:val="restart"/>
            <w:tcBorders>
              <w:bottom w:val="nil"/>
            </w:tcBorders>
          </w:tcPr>
          <w:p w14:paraId="1173F6DA">
            <w:pPr>
              <w:spacing w:before="234" w:line="228" w:lineRule="auto"/>
              <w:ind w:left="1510"/>
              <w:rPr>
                <w:rFonts w:ascii="黑体" w:hAnsi="黑体" w:eastAsia="黑体" w:cs="黑体"/>
                <w:sz w:val="19"/>
                <w:szCs w:val="19"/>
              </w:rPr>
            </w:pPr>
            <w:r>
              <w:rPr>
                <w:rFonts w:ascii="黑体" w:hAnsi="黑体" w:eastAsia="黑体" w:cs="黑体"/>
                <w:spacing w:val="8"/>
                <w:sz w:val="19"/>
                <w:szCs w:val="19"/>
              </w:rPr>
              <w:t>评价标准</w:t>
            </w:r>
          </w:p>
        </w:tc>
        <w:tc>
          <w:tcPr>
            <w:tcW w:w="801" w:type="dxa"/>
            <w:vMerge w:val="restart"/>
            <w:tcBorders>
              <w:bottom w:val="nil"/>
            </w:tcBorders>
          </w:tcPr>
          <w:p w14:paraId="53F78AFA">
            <w:pPr>
              <w:spacing w:before="234" w:line="230" w:lineRule="auto"/>
              <w:ind w:left="207"/>
              <w:rPr>
                <w:rFonts w:ascii="黑体" w:hAnsi="黑体" w:eastAsia="黑体" w:cs="黑体"/>
                <w:sz w:val="19"/>
                <w:szCs w:val="19"/>
              </w:rPr>
            </w:pPr>
            <w:r>
              <w:rPr>
                <w:rFonts w:ascii="黑体" w:hAnsi="黑体" w:eastAsia="黑体" w:cs="黑体"/>
                <w:spacing w:val="7"/>
                <w:sz w:val="19"/>
                <w:szCs w:val="19"/>
              </w:rPr>
              <w:t>权重</w:t>
            </w:r>
          </w:p>
        </w:tc>
        <w:tc>
          <w:tcPr>
            <w:tcW w:w="809" w:type="dxa"/>
            <w:vMerge w:val="restart"/>
            <w:tcBorders>
              <w:bottom w:val="nil"/>
            </w:tcBorders>
          </w:tcPr>
          <w:p w14:paraId="34A620C6">
            <w:pPr>
              <w:spacing w:before="234" w:line="228" w:lineRule="auto"/>
              <w:ind w:left="210"/>
              <w:rPr>
                <w:rFonts w:ascii="黑体" w:hAnsi="黑体" w:eastAsia="黑体" w:cs="黑体"/>
                <w:sz w:val="19"/>
                <w:szCs w:val="19"/>
              </w:rPr>
            </w:pPr>
            <w:r>
              <w:rPr>
                <w:rFonts w:ascii="黑体" w:hAnsi="黑体" w:eastAsia="黑体" w:cs="黑体"/>
                <w:spacing w:val="6"/>
                <w:sz w:val="19"/>
                <w:szCs w:val="19"/>
              </w:rPr>
              <w:t>得分</w:t>
            </w:r>
          </w:p>
        </w:tc>
      </w:tr>
      <w:tr w14:paraId="15F838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jc w:val="center"/>
        </w:trPr>
        <w:tc>
          <w:tcPr>
            <w:tcW w:w="1713" w:type="dxa"/>
          </w:tcPr>
          <w:p w14:paraId="32A36CF8">
            <w:pPr>
              <w:spacing w:before="69" w:line="227" w:lineRule="auto"/>
              <w:ind w:left="464"/>
              <w:rPr>
                <w:rFonts w:ascii="黑体" w:hAnsi="黑体" w:eastAsia="黑体" w:cs="黑体"/>
                <w:sz w:val="19"/>
                <w:szCs w:val="19"/>
              </w:rPr>
            </w:pPr>
            <w:r>
              <w:rPr>
                <w:rFonts w:ascii="黑体" w:hAnsi="黑体" w:eastAsia="黑体" w:cs="黑体"/>
                <w:spacing w:val="7"/>
                <w:sz w:val="19"/>
                <w:szCs w:val="19"/>
              </w:rPr>
              <w:t>一级指标</w:t>
            </w:r>
          </w:p>
        </w:tc>
        <w:tc>
          <w:tcPr>
            <w:tcW w:w="1526" w:type="dxa"/>
          </w:tcPr>
          <w:p w14:paraId="0B9A2443">
            <w:pPr>
              <w:spacing w:before="69" w:line="227" w:lineRule="auto"/>
              <w:ind w:left="369"/>
              <w:rPr>
                <w:rFonts w:ascii="黑体" w:hAnsi="黑体" w:eastAsia="黑体" w:cs="黑体"/>
                <w:sz w:val="19"/>
                <w:szCs w:val="19"/>
              </w:rPr>
            </w:pPr>
            <w:r>
              <w:rPr>
                <w:rFonts w:ascii="黑体" w:hAnsi="黑体" w:eastAsia="黑体" w:cs="黑体"/>
                <w:spacing w:val="7"/>
                <w:sz w:val="19"/>
                <w:szCs w:val="19"/>
              </w:rPr>
              <w:t>二级指标</w:t>
            </w:r>
          </w:p>
        </w:tc>
        <w:tc>
          <w:tcPr>
            <w:tcW w:w="1507" w:type="dxa"/>
          </w:tcPr>
          <w:p w14:paraId="0BEA1ED5">
            <w:pPr>
              <w:spacing w:before="69" w:line="227" w:lineRule="auto"/>
              <w:ind w:left="363"/>
              <w:rPr>
                <w:rFonts w:ascii="黑体" w:hAnsi="黑体" w:eastAsia="黑体" w:cs="黑体"/>
                <w:sz w:val="19"/>
                <w:szCs w:val="19"/>
              </w:rPr>
            </w:pPr>
            <w:r>
              <w:rPr>
                <w:rFonts w:ascii="黑体" w:hAnsi="黑体" w:eastAsia="黑体" w:cs="黑体"/>
                <w:spacing w:val="7"/>
                <w:sz w:val="19"/>
                <w:szCs w:val="19"/>
              </w:rPr>
              <w:t>三级指</w:t>
            </w:r>
            <w:r>
              <w:rPr>
                <w:rFonts w:ascii="黑体" w:hAnsi="黑体" w:eastAsia="黑体" w:cs="黑体"/>
                <w:spacing w:val="6"/>
                <w:sz w:val="19"/>
                <w:szCs w:val="19"/>
              </w:rPr>
              <w:t>标</w:t>
            </w:r>
          </w:p>
        </w:tc>
        <w:tc>
          <w:tcPr>
            <w:tcW w:w="1228" w:type="dxa"/>
            <w:vMerge w:val="continue"/>
            <w:tcBorders>
              <w:top w:val="nil"/>
              <w:bottom w:val="single" w:color="auto" w:sz="4" w:space="0"/>
            </w:tcBorders>
          </w:tcPr>
          <w:p w14:paraId="3231A717">
            <w:pPr>
              <w:rPr>
                <w:rFonts w:ascii="Arial"/>
              </w:rPr>
            </w:pPr>
          </w:p>
        </w:tc>
        <w:tc>
          <w:tcPr>
            <w:tcW w:w="2563" w:type="dxa"/>
            <w:vMerge w:val="continue"/>
            <w:tcBorders>
              <w:top w:val="nil"/>
              <w:bottom w:val="single" w:color="auto" w:sz="4" w:space="0"/>
            </w:tcBorders>
          </w:tcPr>
          <w:p w14:paraId="53DF80BA">
            <w:pPr>
              <w:rPr>
                <w:rFonts w:ascii="Arial"/>
              </w:rPr>
            </w:pPr>
          </w:p>
        </w:tc>
        <w:tc>
          <w:tcPr>
            <w:tcW w:w="3808" w:type="dxa"/>
            <w:vMerge w:val="continue"/>
            <w:tcBorders>
              <w:top w:val="nil"/>
              <w:bottom w:val="single" w:color="auto" w:sz="4" w:space="0"/>
            </w:tcBorders>
          </w:tcPr>
          <w:p w14:paraId="3C0714EE">
            <w:pPr>
              <w:rPr>
                <w:rFonts w:ascii="Arial"/>
              </w:rPr>
            </w:pPr>
          </w:p>
        </w:tc>
        <w:tc>
          <w:tcPr>
            <w:tcW w:w="801" w:type="dxa"/>
            <w:vMerge w:val="continue"/>
            <w:tcBorders>
              <w:top w:val="nil"/>
              <w:bottom w:val="single" w:color="auto" w:sz="4" w:space="0"/>
            </w:tcBorders>
          </w:tcPr>
          <w:p w14:paraId="352444F7">
            <w:pPr>
              <w:rPr>
                <w:rFonts w:ascii="Arial"/>
              </w:rPr>
            </w:pPr>
          </w:p>
        </w:tc>
        <w:tc>
          <w:tcPr>
            <w:tcW w:w="809" w:type="dxa"/>
            <w:vMerge w:val="continue"/>
            <w:tcBorders>
              <w:top w:val="nil"/>
              <w:bottom w:val="single" w:color="auto" w:sz="4" w:space="0"/>
            </w:tcBorders>
          </w:tcPr>
          <w:p w14:paraId="39F126E2">
            <w:pPr>
              <w:rPr>
                <w:rFonts w:ascii="Arial"/>
              </w:rPr>
            </w:pPr>
          </w:p>
        </w:tc>
      </w:tr>
      <w:tr w14:paraId="1EEFBD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8" w:hRule="atLeast"/>
          <w:jc w:val="center"/>
        </w:trPr>
        <w:tc>
          <w:tcPr>
            <w:tcW w:w="1713" w:type="dxa"/>
            <w:vMerge w:val="restart"/>
            <w:vAlign w:val="center"/>
          </w:tcPr>
          <w:p w14:paraId="5C069178">
            <w:pPr>
              <w:spacing w:before="61" w:line="312" w:lineRule="exact"/>
              <w:ind w:left="113"/>
              <w:jc w:val="center"/>
              <w:rPr>
                <w:rFonts w:ascii="仿宋" w:hAnsi="仿宋" w:eastAsia="仿宋" w:cs="仿宋"/>
                <w:position w:val="8"/>
                <w:sz w:val="19"/>
                <w:szCs w:val="19"/>
              </w:rPr>
            </w:pPr>
          </w:p>
        </w:tc>
        <w:tc>
          <w:tcPr>
            <w:tcW w:w="1526" w:type="dxa"/>
            <w:vAlign w:val="center"/>
          </w:tcPr>
          <w:p w14:paraId="21E3F1A5">
            <w:pPr>
              <w:spacing w:before="58" w:line="267" w:lineRule="auto"/>
              <w:ind w:left="119" w:right="105" w:hanging="10"/>
              <w:jc w:val="center"/>
              <w:rPr>
                <w:rFonts w:ascii="仿宋" w:hAnsi="仿宋" w:eastAsia="仿宋" w:cs="仿宋"/>
                <w:sz w:val="19"/>
                <w:szCs w:val="19"/>
              </w:rPr>
            </w:pPr>
            <w:r>
              <w:rPr>
                <w:rFonts w:hint="eastAsia" w:ascii="仿宋" w:hAnsi="仿宋" w:eastAsia="仿宋" w:cs="仿宋"/>
                <w:sz w:val="19"/>
                <w:szCs w:val="19"/>
              </w:rPr>
              <w:t>C4卫生监督业务培训工作</w:t>
            </w:r>
          </w:p>
          <w:p w14:paraId="4BA9DB38">
            <w:pPr>
              <w:spacing w:before="58" w:line="267" w:lineRule="auto"/>
              <w:ind w:left="119" w:right="105" w:hanging="10"/>
              <w:jc w:val="center"/>
              <w:rPr>
                <w:rFonts w:ascii="仿宋" w:hAnsi="仿宋" w:eastAsia="仿宋" w:cs="仿宋"/>
                <w:sz w:val="19"/>
                <w:szCs w:val="19"/>
              </w:rPr>
            </w:pPr>
            <w:r>
              <w:rPr>
                <w:rFonts w:ascii="仿宋" w:hAnsi="仿宋" w:eastAsia="仿宋" w:cs="仿宋"/>
                <w:spacing w:val="11"/>
                <w:sz w:val="19"/>
                <w:szCs w:val="19"/>
              </w:rPr>
              <w:t>(</w:t>
            </w:r>
            <w:r>
              <w:rPr>
                <w:rFonts w:hint="eastAsia" w:ascii="仿宋" w:hAnsi="仿宋" w:eastAsia="仿宋" w:cs="仿宋"/>
                <w:spacing w:val="11"/>
                <w:sz w:val="19"/>
                <w:szCs w:val="19"/>
              </w:rPr>
              <w:t>1</w:t>
            </w:r>
            <w:r>
              <w:rPr>
                <w:rFonts w:ascii="仿宋" w:hAnsi="仿宋" w:eastAsia="仿宋" w:cs="仿宋"/>
                <w:spacing w:val="11"/>
                <w:sz w:val="19"/>
                <w:szCs w:val="19"/>
              </w:rPr>
              <w:t xml:space="preserve"> 分</w:t>
            </w:r>
            <w:r>
              <w:rPr>
                <w:rFonts w:ascii="仿宋" w:hAnsi="仿宋" w:eastAsia="仿宋" w:cs="仿宋"/>
                <w:spacing w:val="10"/>
                <w:sz w:val="19"/>
                <w:szCs w:val="19"/>
              </w:rPr>
              <w:t>)</w:t>
            </w:r>
          </w:p>
        </w:tc>
        <w:tc>
          <w:tcPr>
            <w:tcW w:w="1507" w:type="dxa"/>
            <w:tcBorders>
              <w:right w:val="single" w:color="auto" w:sz="4" w:space="0"/>
            </w:tcBorders>
            <w:vAlign w:val="center"/>
          </w:tcPr>
          <w:p w14:paraId="353C9393">
            <w:pPr>
              <w:spacing w:line="227" w:lineRule="auto"/>
              <w:ind w:left="122"/>
              <w:rPr>
                <w:rFonts w:ascii="仿宋" w:hAnsi="仿宋" w:eastAsia="仿宋" w:cs="仿宋"/>
                <w:spacing w:val="1"/>
                <w:sz w:val="19"/>
                <w:szCs w:val="19"/>
              </w:rPr>
            </w:pPr>
            <w:r>
              <w:rPr>
                <w:rFonts w:hint="eastAsia" w:ascii="仿宋" w:hAnsi="仿宋" w:eastAsia="仿宋" w:cs="仿宋"/>
                <w:spacing w:val="1"/>
                <w:sz w:val="19"/>
                <w:szCs w:val="19"/>
              </w:rPr>
              <w:t>C41 卫生监督业务培训开展情况</w:t>
            </w:r>
          </w:p>
        </w:tc>
        <w:tc>
          <w:tcPr>
            <w:tcW w:w="1228" w:type="dxa"/>
            <w:tcBorders>
              <w:top w:val="single" w:color="auto" w:sz="4" w:space="0"/>
              <w:left w:val="single" w:color="auto" w:sz="4" w:space="0"/>
              <w:bottom w:val="single" w:color="auto" w:sz="4" w:space="0"/>
              <w:right w:val="single" w:color="auto" w:sz="4" w:space="0"/>
            </w:tcBorders>
            <w:vAlign w:val="center"/>
          </w:tcPr>
          <w:p w14:paraId="6404311C">
            <w:pPr>
              <w:spacing w:before="215" w:line="228" w:lineRule="auto"/>
              <w:jc w:val="center"/>
              <w:rPr>
                <w:rFonts w:ascii="仿宋" w:hAnsi="仿宋" w:eastAsia="仿宋" w:cs="仿宋"/>
                <w:sz w:val="19"/>
                <w:szCs w:val="19"/>
              </w:rPr>
            </w:pPr>
            <w:r>
              <w:rPr>
                <w:rFonts w:hint="eastAsia" w:ascii="仿宋" w:hAnsi="仿宋" w:eastAsia="仿宋" w:cs="仿宋"/>
                <w:sz w:val="19"/>
                <w:szCs w:val="19"/>
              </w:rPr>
              <w:t>≧2次</w:t>
            </w:r>
          </w:p>
        </w:tc>
        <w:tc>
          <w:tcPr>
            <w:tcW w:w="2563" w:type="dxa"/>
            <w:tcBorders>
              <w:top w:val="single" w:color="auto" w:sz="4" w:space="0"/>
              <w:left w:val="single" w:color="auto" w:sz="4" w:space="0"/>
              <w:bottom w:val="single" w:color="auto" w:sz="4" w:space="0"/>
              <w:right w:val="single" w:color="auto" w:sz="4" w:space="0"/>
            </w:tcBorders>
            <w:vAlign w:val="center"/>
          </w:tcPr>
          <w:p w14:paraId="2532AA63">
            <w:pPr>
              <w:spacing w:before="59" w:line="264" w:lineRule="auto"/>
              <w:ind w:right="104"/>
              <w:rPr>
                <w:rFonts w:ascii="仿宋" w:hAnsi="仿宋" w:eastAsia="仿宋" w:cs="仿宋"/>
                <w:spacing w:val="22"/>
                <w:sz w:val="19"/>
                <w:szCs w:val="19"/>
              </w:rPr>
            </w:pPr>
            <w:r>
              <w:rPr>
                <w:rFonts w:hint="eastAsia" w:ascii="仿宋" w:hAnsi="仿宋" w:eastAsia="仿宋" w:cs="仿宋"/>
                <w:sz w:val="19"/>
                <w:szCs w:val="19"/>
              </w:rPr>
              <w:t>考察南京市卫生监督所全年业务培训开展情况。</w:t>
            </w:r>
          </w:p>
        </w:tc>
        <w:tc>
          <w:tcPr>
            <w:tcW w:w="3808" w:type="dxa"/>
            <w:tcBorders>
              <w:top w:val="single" w:color="auto" w:sz="4" w:space="0"/>
              <w:left w:val="single" w:color="auto" w:sz="4" w:space="0"/>
              <w:bottom w:val="single" w:color="auto" w:sz="4" w:space="0"/>
              <w:right w:val="single" w:color="auto" w:sz="4" w:space="0"/>
            </w:tcBorders>
            <w:vAlign w:val="center"/>
          </w:tcPr>
          <w:p w14:paraId="0979C89F">
            <w:pPr>
              <w:spacing w:before="59" w:line="264" w:lineRule="auto"/>
              <w:ind w:right="103"/>
              <w:rPr>
                <w:rFonts w:ascii="仿宋" w:hAnsi="仿宋" w:eastAsia="仿宋" w:cs="仿宋"/>
                <w:spacing w:val="12"/>
                <w:sz w:val="19"/>
                <w:szCs w:val="19"/>
              </w:rPr>
            </w:pPr>
            <w:r>
              <w:rPr>
                <w:rFonts w:hint="eastAsia" w:ascii="仿宋" w:hAnsi="仿宋" w:eastAsia="仿宋" w:cs="仿宋"/>
                <w:spacing w:val="12"/>
                <w:sz w:val="19"/>
                <w:szCs w:val="19"/>
              </w:rPr>
              <w:t>卫生监督业务培训开展次数</w:t>
            </w:r>
            <w:r>
              <w:rPr>
                <w:rFonts w:hint="eastAsia" w:ascii="仿宋" w:hAnsi="仿宋" w:eastAsia="仿宋" w:cs="仿宋"/>
                <w:sz w:val="19"/>
                <w:szCs w:val="19"/>
              </w:rPr>
              <w:t>≧2次得1分，否则不得分。</w:t>
            </w:r>
          </w:p>
        </w:tc>
        <w:tc>
          <w:tcPr>
            <w:tcW w:w="801" w:type="dxa"/>
            <w:tcBorders>
              <w:top w:val="single" w:color="auto" w:sz="4" w:space="0"/>
              <w:left w:val="single" w:color="auto" w:sz="4" w:space="0"/>
              <w:bottom w:val="single" w:color="auto" w:sz="4" w:space="0"/>
              <w:right w:val="single" w:color="auto" w:sz="4" w:space="0"/>
            </w:tcBorders>
            <w:vAlign w:val="center"/>
          </w:tcPr>
          <w:p w14:paraId="1183B111">
            <w:pPr>
              <w:spacing w:before="252" w:line="184" w:lineRule="auto"/>
              <w:ind w:left="356"/>
              <w:rPr>
                <w:rFonts w:ascii="仿宋" w:hAnsi="仿宋" w:eastAsia="仿宋" w:cs="仿宋"/>
                <w:sz w:val="19"/>
                <w:szCs w:val="19"/>
              </w:rPr>
            </w:pPr>
            <w:r>
              <w:rPr>
                <w:rFonts w:hint="eastAsia" w:ascii="仿宋" w:hAnsi="仿宋" w:eastAsia="仿宋" w:cs="仿宋"/>
                <w:sz w:val="19"/>
                <w:szCs w:val="19"/>
              </w:rPr>
              <w:t>1</w:t>
            </w:r>
          </w:p>
        </w:tc>
        <w:tc>
          <w:tcPr>
            <w:tcW w:w="809" w:type="dxa"/>
            <w:tcBorders>
              <w:top w:val="single" w:color="auto" w:sz="4" w:space="0"/>
              <w:left w:val="single" w:color="auto" w:sz="4" w:space="0"/>
              <w:bottom w:val="single" w:color="auto" w:sz="4" w:space="0"/>
              <w:right w:val="single" w:color="auto" w:sz="4" w:space="0"/>
            </w:tcBorders>
            <w:vAlign w:val="center"/>
          </w:tcPr>
          <w:p w14:paraId="56C20AEA">
            <w:pPr>
              <w:spacing w:before="252" w:line="184" w:lineRule="auto"/>
              <w:ind w:left="357"/>
              <w:rPr>
                <w:rFonts w:ascii="仿宋" w:hAnsi="仿宋" w:eastAsia="仿宋" w:cs="仿宋"/>
                <w:sz w:val="19"/>
                <w:szCs w:val="19"/>
              </w:rPr>
            </w:pPr>
            <w:r>
              <w:rPr>
                <w:rFonts w:hint="eastAsia" w:ascii="仿宋" w:hAnsi="仿宋" w:eastAsia="仿宋" w:cs="仿宋"/>
                <w:sz w:val="19"/>
                <w:szCs w:val="19"/>
              </w:rPr>
              <w:t>1</w:t>
            </w:r>
          </w:p>
        </w:tc>
      </w:tr>
      <w:tr w14:paraId="00DA2C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4" w:hRule="atLeast"/>
          <w:jc w:val="center"/>
        </w:trPr>
        <w:tc>
          <w:tcPr>
            <w:tcW w:w="1713" w:type="dxa"/>
            <w:vMerge w:val="continue"/>
          </w:tcPr>
          <w:p w14:paraId="069D1562">
            <w:pPr>
              <w:spacing w:before="69" w:line="227" w:lineRule="auto"/>
              <w:ind w:left="464"/>
              <w:rPr>
                <w:rFonts w:ascii="黑体" w:hAnsi="黑体" w:eastAsia="黑体" w:cs="黑体"/>
                <w:spacing w:val="7"/>
                <w:sz w:val="19"/>
                <w:szCs w:val="19"/>
              </w:rPr>
            </w:pPr>
          </w:p>
        </w:tc>
        <w:tc>
          <w:tcPr>
            <w:tcW w:w="1526" w:type="dxa"/>
            <w:vMerge w:val="restart"/>
            <w:vAlign w:val="center"/>
          </w:tcPr>
          <w:p w14:paraId="2A38DDAA">
            <w:pPr>
              <w:spacing w:before="58" w:line="267" w:lineRule="auto"/>
              <w:ind w:left="119" w:right="105" w:hanging="10"/>
              <w:jc w:val="center"/>
              <w:rPr>
                <w:rFonts w:ascii="仿宋" w:hAnsi="仿宋" w:eastAsia="仿宋" w:cs="仿宋"/>
                <w:sz w:val="19"/>
                <w:szCs w:val="19"/>
              </w:rPr>
            </w:pPr>
            <w:r>
              <w:rPr>
                <w:rFonts w:hint="eastAsia" w:ascii="仿宋" w:hAnsi="仿宋" w:eastAsia="仿宋" w:cs="仿宋"/>
                <w:sz w:val="19"/>
                <w:szCs w:val="19"/>
              </w:rPr>
              <w:t>C5卫生普法宣传工作</w:t>
            </w:r>
          </w:p>
          <w:p w14:paraId="5BDBCE02">
            <w:pPr>
              <w:spacing w:before="69" w:line="227" w:lineRule="auto"/>
              <w:ind w:left="369"/>
              <w:rPr>
                <w:rFonts w:ascii="黑体" w:hAnsi="黑体" w:eastAsia="黑体" w:cs="黑体"/>
                <w:spacing w:val="7"/>
                <w:sz w:val="19"/>
                <w:szCs w:val="19"/>
              </w:rPr>
            </w:pPr>
            <w:r>
              <w:rPr>
                <w:rFonts w:ascii="仿宋" w:hAnsi="仿宋" w:eastAsia="仿宋" w:cs="仿宋"/>
                <w:spacing w:val="11"/>
                <w:sz w:val="19"/>
                <w:szCs w:val="19"/>
              </w:rPr>
              <w:t>(</w:t>
            </w:r>
            <w:r>
              <w:rPr>
                <w:rFonts w:hint="eastAsia" w:ascii="仿宋" w:hAnsi="仿宋" w:eastAsia="仿宋" w:cs="仿宋"/>
                <w:spacing w:val="11"/>
                <w:sz w:val="19"/>
                <w:szCs w:val="19"/>
              </w:rPr>
              <w:t>2</w:t>
            </w:r>
            <w:r>
              <w:rPr>
                <w:rFonts w:ascii="仿宋" w:hAnsi="仿宋" w:eastAsia="仿宋" w:cs="仿宋"/>
                <w:spacing w:val="11"/>
                <w:sz w:val="19"/>
                <w:szCs w:val="19"/>
              </w:rPr>
              <w:t xml:space="preserve"> 分</w:t>
            </w:r>
            <w:r>
              <w:rPr>
                <w:rFonts w:ascii="仿宋" w:hAnsi="仿宋" w:eastAsia="仿宋" w:cs="仿宋"/>
                <w:spacing w:val="10"/>
                <w:sz w:val="19"/>
                <w:szCs w:val="19"/>
              </w:rPr>
              <w:t>)</w:t>
            </w:r>
          </w:p>
        </w:tc>
        <w:tc>
          <w:tcPr>
            <w:tcW w:w="1507" w:type="dxa"/>
            <w:tcBorders>
              <w:right w:val="single" w:color="auto" w:sz="4" w:space="0"/>
            </w:tcBorders>
            <w:vAlign w:val="center"/>
          </w:tcPr>
          <w:p w14:paraId="4C846E51">
            <w:pPr>
              <w:spacing w:line="227" w:lineRule="auto"/>
              <w:ind w:firstLine="192" w:firstLineChars="100"/>
              <w:rPr>
                <w:rFonts w:ascii="仿宋" w:hAnsi="仿宋" w:eastAsia="仿宋" w:cs="仿宋"/>
                <w:spacing w:val="1"/>
                <w:sz w:val="19"/>
                <w:szCs w:val="19"/>
              </w:rPr>
            </w:pPr>
            <w:r>
              <w:rPr>
                <w:rFonts w:hint="eastAsia" w:ascii="仿宋" w:hAnsi="仿宋" w:eastAsia="仿宋" w:cs="仿宋"/>
                <w:spacing w:val="1"/>
                <w:sz w:val="19"/>
                <w:szCs w:val="19"/>
              </w:rPr>
              <w:t>C51卫生普法工作开展情况</w:t>
            </w:r>
          </w:p>
        </w:tc>
        <w:tc>
          <w:tcPr>
            <w:tcW w:w="1228" w:type="dxa"/>
            <w:tcBorders>
              <w:top w:val="single" w:color="auto" w:sz="4" w:space="0"/>
              <w:left w:val="single" w:color="auto" w:sz="4" w:space="0"/>
              <w:bottom w:val="single" w:color="auto" w:sz="4" w:space="0"/>
              <w:right w:val="single" w:color="auto" w:sz="4" w:space="0"/>
            </w:tcBorders>
            <w:vAlign w:val="center"/>
          </w:tcPr>
          <w:p w14:paraId="3D371896">
            <w:pPr>
              <w:spacing w:before="215" w:line="228" w:lineRule="auto"/>
              <w:jc w:val="center"/>
              <w:rPr>
                <w:rFonts w:ascii="仿宋" w:hAnsi="仿宋" w:eastAsia="仿宋" w:cs="仿宋"/>
                <w:sz w:val="19"/>
                <w:szCs w:val="19"/>
              </w:rPr>
            </w:pPr>
            <w:r>
              <w:rPr>
                <w:rFonts w:hint="eastAsia" w:ascii="仿宋" w:hAnsi="仿宋" w:eastAsia="仿宋" w:cs="仿宋"/>
                <w:sz w:val="19"/>
                <w:szCs w:val="19"/>
              </w:rPr>
              <w:t>≧3次</w:t>
            </w:r>
          </w:p>
        </w:tc>
        <w:tc>
          <w:tcPr>
            <w:tcW w:w="2563" w:type="dxa"/>
            <w:tcBorders>
              <w:top w:val="single" w:color="auto" w:sz="4" w:space="0"/>
              <w:left w:val="single" w:color="auto" w:sz="4" w:space="0"/>
              <w:bottom w:val="single" w:color="auto" w:sz="4" w:space="0"/>
              <w:right w:val="single" w:color="auto" w:sz="4" w:space="0"/>
            </w:tcBorders>
            <w:vAlign w:val="center"/>
          </w:tcPr>
          <w:p w14:paraId="7D8CCA4D">
            <w:pPr>
              <w:spacing w:before="59" w:line="264" w:lineRule="auto"/>
              <w:ind w:right="104"/>
              <w:rPr>
                <w:rFonts w:ascii="仿宋" w:hAnsi="仿宋" w:eastAsia="仿宋" w:cs="仿宋"/>
                <w:spacing w:val="22"/>
                <w:sz w:val="19"/>
                <w:szCs w:val="19"/>
              </w:rPr>
            </w:pPr>
            <w:r>
              <w:rPr>
                <w:rFonts w:hint="eastAsia" w:ascii="仿宋" w:hAnsi="仿宋" w:eastAsia="仿宋" w:cs="仿宋"/>
                <w:sz w:val="19"/>
                <w:szCs w:val="19"/>
              </w:rPr>
              <w:t>考察南京市卫生监督所全年卫生普法宣传活动开展情况。</w:t>
            </w:r>
          </w:p>
        </w:tc>
        <w:tc>
          <w:tcPr>
            <w:tcW w:w="3808" w:type="dxa"/>
            <w:tcBorders>
              <w:top w:val="single" w:color="auto" w:sz="4" w:space="0"/>
              <w:left w:val="single" w:color="auto" w:sz="4" w:space="0"/>
              <w:bottom w:val="single" w:color="auto" w:sz="4" w:space="0"/>
              <w:right w:val="single" w:color="auto" w:sz="4" w:space="0"/>
            </w:tcBorders>
            <w:vAlign w:val="center"/>
          </w:tcPr>
          <w:p w14:paraId="504E9CDA">
            <w:pPr>
              <w:spacing w:before="59" w:line="264" w:lineRule="auto"/>
              <w:ind w:right="103"/>
              <w:rPr>
                <w:rFonts w:ascii="仿宋" w:hAnsi="仿宋" w:eastAsia="仿宋" w:cs="仿宋"/>
                <w:spacing w:val="12"/>
                <w:sz w:val="19"/>
                <w:szCs w:val="19"/>
              </w:rPr>
            </w:pPr>
            <w:r>
              <w:rPr>
                <w:rFonts w:hint="eastAsia" w:ascii="仿宋" w:hAnsi="仿宋" w:eastAsia="仿宋" w:cs="仿宋"/>
                <w:spacing w:val="12"/>
                <w:sz w:val="19"/>
                <w:szCs w:val="19"/>
              </w:rPr>
              <w:t>卫生监督业务卫生普法工作开展次数</w:t>
            </w:r>
            <w:r>
              <w:rPr>
                <w:rFonts w:hint="eastAsia" w:ascii="仿宋" w:hAnsi="仿宋" w:eastAsia="仿宋" w:cs="仿宋"/>
                <w:sz w:val="19"/>
                <w:szCs w:val="19"/>
              </w:rPr>
              <w:t>≧3次得1分，否则不得分。</w:t>
            </w:r>
          </w:p>
        </w:tc>
        <w:tc>
          <w:tcPr>
            <w:tcW w:w="801" w:type="dxa"/>
            <w:tcBorders>
              <w:top w:val="single" w:color="auto" w:sz="4" w:space="0"/>
              <w:left w:val="single" w:color="auto" w:sz="4" w:space="0"/>
              <w:bottom w:val="single" w:color="auto" w:sz="4" w:space="0"/>
              <w:right w:val="single" w:color="auto" w:sz="4" w:space="0"/>
            </w:tcBorders>
            <w:vAlign w:val="center"/>
          </w:tcPr>
          <w:p w14:paraId="087FD815">
            <w:pPr>
              <w:spacing w:before="252" w:line="184" w:lineRule="auto"/>
              <w:ind w:left="356"/>
              <w:rPr>
                <w:rFonts w:ascii="仿宋" w:hAnsi="仿宋" w:eastAsia="仿宋" w:cs="仿宋"/>
                <w:sz w:val="19"/>
                <w:szCs w:val="19"/>
              </w:rPr>
            </w:pPr>
            <w:r>
              <w:rPr>
                <w:rFonts w:hint="eastAsia" w:ascii="仿宋" w:hAnsi="仿宋" w:eastAsia="仿宋" w:cs="仿宋"/>
                <w:sz w:val="19"/>
                <w:szCs w:val="19"/>
              </w:rPr>
              <w:t>1</w:t>
            </w:r>
          </w:p>
        </w:tc>
        <w:tc>
          <w:tcPr>
            <w:tcW w:w="809" w:type="dxa"/>
            <w:tcBorders>
              <w:top w:val="single" w:color="auto" w:sz="4" w:space="0"/>
              <w:left w:val="single" w:color="auto" w:sz="4" w:space="0"/>
              <w:bottom w:val="single" w:color="auto" w:sz="4" w:space="0"/>
              <w:right w:val="single" w:color="auto" w:sz="4" w:space="0"/>
            </w:tcBorders>
            <w:vAlign w:val="center"/>
          </w:tcPr>
          <w:p w14:paraId="653AE007">
            <w:pPr>
              <w:spacing w:before="252" w:line="184" w:lineRule="auto"/>
              <w:ind w:left="357"/>
              <w:rPr>
                <w:rFonts w:ascii="仿宋" w:hAnsi="仿宋" w:eastAsia="仿宋" w:cs="仿宋"/>
                <w:sz w:val="19"/>
                <w:szCs w:val="19"/>
              </w:rPr>
            </w:pPr>
            <w:r>
              <w:rPr>
                <w:rFonts w:hint="eastAsia" w:ascii="仿宋" w:hAnsi="仿宋" w:eastAsia="仿宋" w:cs="仿宋"/>
                <w:sz w:val="19"/>
                <w:szCs w:val="19"/>
              </w:rPr>
              <w:t>1</w:t>
            </w:r>
          </w:p>
        </w:tc>
      </w:tr>
      <w:tr w14:paraId="46065A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9" w:hRule="atLeast"/>
          <w:jc w:val="center"/>
        </w:trPr>
        <w:tc>
          <w:tcPr>
            <w:tcW w:w="1713" w:type="dxa"/>
            <w:vMerge w:val="continue"/>
          </w:tcPr>
          <w:p w14:paraId="163C7996">
            <w:pPr>
              <w:spacing w:before="69" w:line="227" w:lineRule="auto"/>
              <w:ind w:left="464"/>
              <w:rPr>
                <w:rFonts w:ascii="黑体" w:hAnsi="黑体" w:eastAsia="黑体" w:cs="黑体"/>
                <w:spacing w:val="7"/>
                <w:sz w:val="19"/>
                <w:szCs w:val="19"/>
              </w:rPr>
            </w:pPr>
          </w:p>
        </w:tc>
        <w:tc>
          <w:tcPr>
            <w:tcW w:w="1526" w:type="dxa"/>
            <w:vMerge w:val="continue"/>
          </w:tcPr>
          <w:p w14:paraId="78128C43">
            <w:pPr>
              <w:spacing w:before="69" w:line="227" w:lineRule="auto"/>
              <w:ind w:left="369"/>
              <w:rPr>
                <w:rFonts w:ascii="黑体" w:hAnsi="黑体" w:eastAsia="黑体" w:cs="黑体"/>
                <w:spacing w:val="7"/>
                <w:sz w:val="19"/>
                <w:szCs w:val="19"/>
              </w:rPr>
            </w:pPr>
          </w:p>
        </w:tc>
        <w:tc>
          <w:tcPr>
            <w:tcW w:w="1507" w:type="dxa"/>
            <w:tcBorders>
              <w:right w:val="single" w:color="auto" w:sz="4" w:space="0"/>
            </w:tcBorders>
            <w:vAlign w:val="center"/>
          </w:tcPr>
          <w:p w14:paraId="48C68C74">
            <w:pPr>
              <w:spacing w:line="227" w:lineRule="auto"/>
              <w:ind w:left="122"/>
              <w:rPr>
                <w:rFonts w:ascii="仿宋" w:hAnsi="仿宋" w:eastAsia="仿宋" w:cs="仿宋"/>
                <w:spacing w:val="1"/>
                <w:sz w:val="19"/>
                <w:szCs w:val="19"/>
              </w:rPr>
            </w:pPr>
            <w:r>
              <w:rPr>
                <w:rFonts w:hint="eastAsia" w:ascii="仿宋" w:hAnsi="仿宋" w:eastAsia="仿宋" w:cs="仿宋"/>
                <w:spacing w:val="1"/>
                <w:sz w:val="19"/>
                <w:szCs w:val="19"/>
              </w:rPr>
              <w:t>C52 微信公众号运行维护</w:t>
            </w:r>
          </w:p>
        </w:tc>
        <w:tc>
          <w:tcPr>
            <w:tcW w:w="1228" w:type="dxa"/>
            <w:tcBorders>
              <w:top w:val="single" w:color="auto" w:sz="4" w:space="0"/>
              <w:left w:val="single" w:color="auto" w:sz="4" w:space="0"/>
              <w:bottom w:val="single" w:color="auto" w:sz="4" w:space="0"/>
              <w:right w:val="single" w:color="auto" w:sz="4" w:space="0"/>
            </w:tcBorders>
            <w:vAlign w:val="center"/>
          </w:tcPr>
          <w:p w14:paraId="78DECD92">
            <w:pPr>
              <w:spacing w:before="215" w:line="228" w:lineRule="auto"/>
              <w:jc w:val="center"/>
              <w:rPr>
                <w:rFonts w:ascii="仿宋" w:hAnsi="仿宋" w:eastAsia="仿宋" w:cs="仿宋"/>
                <w:sz w:val="19"/>
                <w:szCs w:val="19"/>
              </w:rPr>
            </w:pPr>
            <w:r>
              <w:rPr>
                <w:rFonts w:hint="eastAsia" w:ascii="仿宋" w:hAnsi="仿宋" w:eastAsia="仿宋" w:cs="仿宋"/>
                <w:sz w:val="19"/>
                <w:szCs w:val="19"/>
              </w:rPr>
              <w:t>≧50篇</w:t>
            </w:r>
          </w:p>
        </w:tc>
        <w:tc>
          <w:tcPr>
            <w:tcW w:w="2563" w:type="dxa"/>
            <w:tcBorders>
              <w:top w:val="single" w:color="auto" w:sz="4" w:space="0"/>
              <w:left w:val="single" w:color="auto" w:sz="4" w:space="0"/>
              <w:bottom w:val="single" w:color="auto" w:sz="4" w:space="0"/>
              <w:right w:val="single" w:color="auto" w:sz="4" w:space="0"/>
            </w:tcBorders>
            <w:vAlign w:val="center"/>
          </w:tcPr>
          <w:p w14:paraId="65A54441">
            <w:pPr>
              <w:spacing w:before="59" w:line="264" w:lineRule="auto"/>
              <w:ind w:right="104"/>
              <w:rPr>
                <w:rFonts w:ascii="仿宋" w:hAnsi="仿宋" w:eastAsia="仿宋" w:cs="仿宋"/>
                <w:spacing w:val="8"/>
                <w:sz w:val="19"/>
                <w:szCs w:val="19"/>
              </w:rPr>
            </w:pPr>
            <w:r>
              <w:rPr>
                <w:rFonts w:hint="eastAsia" w:ascii="仿宋" w:hAnsi="仿宋" w:eastAsia="仿宋" w:cs="仿宋"/>
                <w:sz w:val="19"/>
                <w:szCs w:val="19"/>
              </w:rPr>
              <w:t>考察南京市卫生监督所微信公众号运行维护情况。</w:t>
            </w:r>
          </w:p>
        </w:tc>
        <w:tc>
          <w:tcPr>
            <w:tcW w:w="3808" w:type="dxa"/>
            <w:tcBorders>
              <w:top w:val="single" w:color="auto" w:sz="4" w:space="0"/>
              <w:left w:val="single" w:color="auto" w:sz="4" w:space="0"/>
              <w:bottom w:val="single" w:color="auto" w:sz="4" w:space="0"/>
              <w:right w:val="single" w:color="auto" w:sz="4" w:space="0"/>
            </w:tcBorders>
            <w:vAlign w:val="center"/>
          </w:tcPr>
          <w:p w14:paraId="1FC997E5">
            <w:pPr>
              <w:spacing w:before="59" w:line="264" w:lineRule="auto"/>
              <w:ind w:right="103"/>
              <w:rPr>
                <w:rFonts w:ascii="仿宋" w:hAnsi="仿宋" w:eastAsia="仿宋" w:cs="仿宋"/>
                <w:spacing w:val="12"/>
                <w:sz w:val="19"/>
                <w:szCs w:val="19"/>
              </w:rPr>
            </w:pPr>
            <w:r>
              <w:rPr>
                <w:rFonts w:hint="eastAsia" w:ascii="仿宋" w:hAnsi="仿宋" w:eastAsia="仿宋" w:cs="仿宋"/>
                <w:spacing w:val="12"/>
                <w:sz w:val="19"/>
                <w:szCs w:val="19"/>
              </w:rPr>
              <w:t>全年南京卫生监督所微信公众号发送信息</w:t>
            </w:r>
            <w:r>
              <w:rPr>
                <w:rFonts w:hint="eastAsia" w:ascii="仿宋" w:hAnsi="仿宋" w:eastAsia="仿宋" w:cs="仿宋"/>
                <w:sz w:val="19"/>
                <w:szCs w:val="19"/>
              </w:rPr>
              <w:t>≧50篇得1分，每降低或超过一个百分点扣减 1% 权重分， 扣完即止。</w:t>
            </w:r>
          </w:p>
        </w:tc>
        <w:tc>
          <w:tcPr>
            <w:tcW w:w="801" w:type="dxa"/>
            <w:tcBorders>
              <w:top w:val="single" w:color="auto" w:sz="4" w:space="0"/>
              <w:left w:val="single" w:color="auto" w:sz="4" w:space="0"/>
              <w:bottom w:val="single" w:color="auto" w:sz="4" w:space="0"/>
              <w:right w:val="single" w:color="auto" w:sz="4" w:space="0"/>
            </w:tcBorders>
            <w:vAlign w:val="center"/>
          </w:tcPr>
          <w:p w14:paraId="6E8BFCFB">
            <w:pPr>
              <w:spacing w:before="252" w:line="184" w:lineRule="auto"/>
              <w:ind w:left="356"/>
              <w:rPr>
                <w:rFonts w:ascii="仿宋" w:hAnsi="仿宋" w:eastAsia="仿宋" w:cs="仿宋"/>
                <w:sz w:val="19"/>
                <w:szCs w:val="19"/>
              </w:rPr>
            </w:pPr>
            <w:r>
              <w:rPr>
                <w:rFonts w:hint="eastAsia" w:ascii="仿宋" w:hAnsi="仿宋" w:eastAsia="仿宋" w:cs="仿宋"/>
                <w:sz w:val="19"/>
                <w:szCs w:val="19"/>
              </w:rPr>
              <w:t>1</w:t>
            </w:r>
          </w:p>
        </w:tc>
        <w:tc>
          <w:tcPr>
            <w:tcW w:w="809" w:type="dxa"/>
            <w:tcBorders>
              <w:top w:val="single" w:color="auto" w:sz="4" w:space="0"/>
              <w:left w:val="single" w:color="auto" w:sz="4" w:space="0"/>
              <w:bottom w:val="single" w:color="auto" w:sz="4" w:space="0"/>
              <w:right w:val="single" w:color="auto" w:sz="4" w:space="0"/>
            </w:tcBorders>
            <w:vAlign w:val="center"/>
          </w:tcPr>
          <w:p w14:paraId="407FDB8E">
            <w:pPr>
              <w:spacing w:before="252" w:line="184" w:lineRule="auto"/>
              <w:ind w:left="357"/>
              <w:rPr>
                <w:rFonts w:ascii="仿宋" w:hAnsi="仿宋" w:eastAsia="仿宋" w:cs="仿宋"/>
                <w:sz w:val="19"/>
                <w:szCs w:val="19"/>
              </w:rPr>
            </w:pPr>
            <w:r>
              <w:rPr>
                <w:rFonts w:hint="eastAsia" w:ascii="仿宋" w:hAnsi="仿宋" w:eastAsia="仿宋" w:cs="仿宋"/>
                <w:sz w:val="19"/>
                <w:szCs w:val="19"/>
              </w:rPr>
              <w:t>1</w:t>
            </w:r>
          </w:p>
        </w:tc>
      </w:tr>
      <w:tr w14:paraId="2A9670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54" w:hRule="atLeast"/>
          <w:jc w:val="center"/>
        </w:trPr>
        <w:tc>
          <w:tcPr>
            <w:tcW w:w="1713" w:type="dxa"/>
            <w:vMerge w:val="continue"/>
          </w:tcPr>
          <w:p w14:paraId="40C30C5C">
            <w:pPr>
              <w:spacing w:before="69" w:line="227" w:lineRule="auto"/>
              <w:ind w:left="464"/>
              <w:rPr>
                <w:rFonts w:ascii="黑体" w:hAnsi="黑体" w:eastAsia="黑体" w:cs="黑体"/>
                <w:spacing w:val="7"/>
                <w:sz w:val="19"/>
                <w:szCs w:val="19"/>
              </w:rPr>
            </w:pPr>
          </w:p>
        </w:tc>
        <w:tc>
          <w:tcPr>
            <w:tcW w:w="1526" w:type="dxa"/>
            <w:vMerge w:val="restart"/>
            <w:vAlign w:val="center"/>
          </w:tcPr>
          <w:p w14:paraId="34A50C3C">
            <w:pPr>
              <w:spacing w:before="58" w:line="267" w:lineRule="auto"/>
              <w:ind w:left="119" w:right="105" w:hanging="10"/>
              <w:jc w:val="center"/>
              <w:rPr>
                <w:rFonts w:ascii="仿宋" w:hAnsi="仿宋" w:eastAsia="仿宋" w:cs="仿宋"/>
                <w:sz w:val="19"/>
                <w:szCs w:val="19"/>
              </w:rPr>
            </w:pPr>
            <w:r>
              <w:rPr>
                <w:rFonts w:hint="eastAsia" w:ascii="仿宋" w:hAnsi="仿宋" w:eastAsia="仿宋" w:cs="仿宋"/>
                <w:sz w:val="19"/>
                <w:szCs w:val="19"/>
              </w:rPr>
              <w:t>C6卫生监督投诉举报处理工作</w:t>
            </w:r>
          </w:p>
          <w:p w14:paraId="6F6A5D7B">
            <w:pPr>
              <w:spacing w:before="69" w:line="227" w:lineRule="auto"/>
              <w:ind w:left="369"/>
              <w:rPr>
                <w:rFonts w:ascii="黑体" w:hAnsi="黑体" w:eastAsia="黑体" w:cs="黑体"/>
                <w:spacing w:val="7"/>
                <w:sz w:val="19"/>
                <w:szCs w:val="19"/>
              </w:rPr>
            </w:pPr>
            <w:r>
              <w:rPr>
                <w:rFonts w:ascii="仿宋" w:hAnsi="仿宋" w:eastAsia="仿宋" w:cs="仿宋"/>
                <w:spacing w:val="11"/>
                <w:sz w:val="19"/>
                <w:szCs w:val="19"/>
              </w:rPr>
              <w:t>(</w:t>
            </w:r>
            <w:r>
              <w:rPr>
                <w:rFonts w:hint="eastAsia" w:ascii="仿宋" w:hAnsi="仿宋" w:eastAsia="仿宋" w:cs="仿宋"/>
                <w:spacing w:val="11"/>
                <w:sz w:val="19"/>
                <w:szCs w:val="19"/>
              </w:rPr>
              <w:t>2</w:t>
            </w:r>
            <w:r>
              <w:rPr>
                <w:rFonts w:ascii="仿宋" w:hAnsi="仿宋" w:eastAsia="仿宋" w:cs="仿宋"/>
                <w:spacing w:val="11"/>
                <w:sz w:val="19"/>
                <w:szCs w:val="19"/>
              </w:rPr>
              <w:t xml:space="preserve"> 分</w:t>
            </w:r>
            <w:r>
              <w:rPr>
                <w:rFonts w:ascii="仿宋" w:hAnsi="仿宋" w:eastAsia="仿宋" w:cs="仿宋"/>
                <w:spacing w:val="10"/>
                <w:sz w:val="19"/>
                <w:szCs w:val="19"/>
              </w:rPr>
              <w:t>)</w:t>
            </w:r>
          </w:p>
        </w:tc>
        <w:tc>
          <w:tcPr>
            <w:tcW w:w="1507" w:type="dxa"/>
            <w:tcBorders>
              <w:right w:val="single" w:color="auto" w:sz="4" w:space="0"/>
            </w:tcBorders>
            <w:vAlign w:val="center"/>
          </w:tcPr>
          <w:p w14:paraId="0E6BE8DC">
            <w:pPr>
              <w:spacing w:line="227" w:lineRule="auto"/>
              <w:ind w:left="122"/>
              <w:rPr>
                <w:rFonts w:ascii="仿宋" w:hAnsi="仿宋" w:eastAsia="仿宋" w:cs="仿宋"/>
                <w:spacing w:val="1"/>
                <w:sz w:val="19"/>
                <w:szCs w:val="19"/>
              </w:rPr>
            </w:pPr>
            <w:r>
              <w:rPr>
                <w:rFonts w:hint="eastAsia" w:ascii="仿宋" w:hAnsi="仿宋" w:eastAsia="仿宋" w:cs="仿宋"/>
                <w:spacing w:val="1"/>
                <w:sz w:val="19"/>
                <w:szCs w:val="19"/>
              </w:rPr>
              <w:t>C61 卫生监督投诉举报调查回复工作</w:t>
            </w:r>
          </w:p>
        </w:tc>
        <w:tc>
          <w:tcPr>
            <w:tcW w:w="1228" w:type="dxa"/>
            <w:tcBorders>
              <w:top w:val="single" w:color="auto" w:sz="4" w:space="0"/>
              <w:left w:val="single" w:color="auto" w:sz="4" w:space="0"/>
              <w:bottom w:val="single" w:color="auto" w:sz="4" w:space="0"/>
              <w:right w:val="single" w:color="auto" w:sz="4" w:space="0"/>
            </w:tcBorders>
            <w:vAlign w:val="center"/>
          </w:tcPr>
          <w:p w14:paraId="6FB9AD5A">
            <w:pPr>
              <w:spacing w:before="215" w:line="228" w:lineRule="auto"/>
              <w:jc w:val="center"/>
              <w:rPr>
                <w:rFonts w:ascii="仿宋" w:hAnsi="仿宋" w:eastAsia="仿宋" w:cs="仿宋"/>
                <w:sz w:val="19"/>
                <w:szCs w:val="19"/>
              </w:rPr>
            </w:pPr>
            <w:r>
              <w:rPr>
                <w:rFonts w:hint="eastAsia" w:ascii="仿宋" w:hAnsi="仿宋" w:eastAsia="仿宋" w:cs="仿宋"/>
                <w:sz w:val="19"/>
                <w:szCs w:val="19"/>
              </w:rPr>
              <w:t>=100%</w:t>
            </w:r>
          </w:p>
        </w:tc>
        <w:tc>
          <w:tcPr>
            <w:tcW w:w="2563" w:type="dxa"/>
            <w:tcBorders>
              <w:top w:val="single" w:color="auto" w:sz="4" w:space="0"/>
              <w:left w:val="single" w:color="auto" w:sz="4" w:space="0"/>
              <w:bottom w:val="single" w:color="auto" w:sz="4" w:space="0"/>
              <w:right w:val="single" w:color="auto" w:sz="4" w:space="0"/>
            </w:tcBorders>
            <w:vAlign w:val="center"/>
          </w:tcPr>
          <w:p w14:paraId="66A05219">
            <w:pPr>
              <w:spacing w:before="59" w:line="264" w:lineRule="auto"/>
              <w:ind w:right="104"/>
              <w:rPr>
                <w:rFonts w:ascii="仿宋" w:hAnsi="仿宋" w:eastAsia="仿宋" w:cs="仿宋"/>
                <w:spacing w:val="8"/>
                <w:sz w:val="19"/>
                <w:szCs w:val="19"/>
              </w:rPr>
            </w:pPr>
            <w:r>
              <w:rPr>
                <w:rFonts w:hint="eastAsia" w:ascii="仿宋" w:hAnsi="仿宋" w:eastAsia="仿宋" w:cs="仿宋"/>
                <w:spacing w:val="8"/>
                <w:sz w:val="19"/>
                <w:szCs w:val="19"/>
              </w:rPr>
              <w:t>考察南京市卫生监督所对职能范围的投诉举报进行充分调查并回复的完成率。</w:t>
            </w:r>
          </w:p>
        </w:tc>
        <w:tc>
          <w:tcPr>
            <w:tcW w:w="3808" w:type="dxa"/>
            <w:tcBorders>
              <w:top w:val="single" w:color="auto" w:sz="4" w:space="0"/>
              <w:left w:val="single" w:color="auto" w:sz="4" w:space="0"/>
              <w:bottom w:val="single" w:color="auto" w:sz="4" w:space="0"/>
              <w:right w:val="single" w:color="auto" w:sz="4" w:space="0"/>
            </w:tcBorders>
            <w:vAlign w:val="center"/>
          </w:tcPr>
          <w:p w14:paraId="35E2E45D">
            <w:pPr>
              <w:spacing w:before="59" w:line="264" w:lineRule="auto"/>
              <w:ind w:right="103"/>
              <w:rPr>
                <w:rFonts w:ascii="仿宋" w:hAnsi="仿宋" w:eastAsia="仿宋" w:cs="仿宋"/>
                <w:spacing w:val="12"/>
                <w:sz w:val="19"/>
                <w:szCs w:val="19"/>
              </w:rPr>
            </w:pPr>
            <w:r>
              <w:rPr>
                <w:rFonts w:hint="eastAsia" w:ascii="仿宋" w:hAnsi="仿宋" w:eastAsia="仿宋" w:cs="仿宋"/>
                <w:sz w:val="19"/>
                <w:szCs w:val="19"/>
              </w:rPr>
              <w:t>按相关要求</w:t>
            </w:r>
            <w:r>
              <w:rPr>
                <w:rFonts w:hint="eastAsia" w:ascii="仿宋" w:hAnsi="仿宋" w:eastAsia="仿宋" w:cs="仿宋"/>
                <w:spacing w:val="8"/>
                <w:sz w:val="19"/>
                <w:szCs w:val="19"/>
              </w:rPr>
              <w:t>对职能范围的投诉举报进行充分调查并回复</w:t>
            </w:r>
            <w:r>
              <w:rPr>
                <w:rFonts w:hint="eastAsia" w:ascii="仿宋" w:hAnsi="仿宋" w:eastAsia="仿宋" w:cs="仿宋"/>
                <w:sz w:val="19"/>
                <w:szCs w:val="19"/>
              </w:rPr>
              <w:t>得1分，每降低或超过一个百分点扣减 1% 权重分， 扣完即止。</w:t>
            </w:r>
          </w:p>
        </w:tc>
        <w:tc>
          <w:tcPr>
            <w:tcW w:w="801" w:type="dxa"/>
            <w:tcBorders>
              <w:top w:val="single" w:color="auto" w:sz="4" w:space="0"/>
              <w:left w:val="single" w:color="auto" w:sz="4" w:space="0"/>
              <w:bottom w:val="single" w:color="auto" w:sz="4" w:space="0"/>
              <w:right w:val="single" w:color="auto" w:sz="4" w:space="0"/>
            </w:tcBorders>
            <w:vAlign w:val="center"/>
          </w:tcPr>
          <w:p w14:paraId="322CEBB9">
            <w:pPr>
              <w:spacing w:before="252" w:line="184" w:lineRule="auto"/>
              <w:ind w:left="356"/>
              <w:rPr>
                <w:rFonts w:ascii="仿宋" w:hAnsi="仿宋" w:eastAsia="仿宋" w:cs="仿宋"/>
                <w:sz w:val="19"/>
                <w:szCs w:val="19"/>
              </w:rPr>
            </w:pPr>
            <w:r>
              <w:rPr>
                <w:rFonts w:hint="eastAsia" w:ascii="仿宋" w:hAnsi="仿宋" w:eastAsia="仿宋" w:cs="仿宋"/>
                <w:sz w:val="19"/>
                <w:szCs w:val="19"/>
              </w:rPr>
              <w:t>1</w:t>
            </w:r>
          </w:p>
        </w:tc>
        <w:tc>
          <w:tcPr>
            <w:tcW w:w="809" w:type="dxa"/>
            <w:tcBorders>
              <w:top w:val="single" w:color="auto" w:sz="4" w:space="0"/>
              <w:left w:val="single" w:color="auto" w:sz="4" w:space="0"/>
              <w:bottom w:val="single" w:color="auto" w:sz="4" w:space="0"/>
              <w:right w:val="single" w:color="auto" w:sz="4" w:space="0"/>
            </w:tcBorders>
            <w:vAlign w:val="center"/>
          </w:tcPr>
          <w:p w14:paraId="4C574F6D">
            <w:pPr>
              <w:spacing w:before="252" w:line="184" w:lineRule="auto"/>
              <w:ind w:left="357"/>
              <w:rPr>
                <w:rFonts w:ascii="仿宋" w:hAnsi="仿宋" w:eastAsia="仿宋" w:cs="仿宋"/>
                <w:sz w:val="19"/>
                <w:szCs w:val="19"/>
              </w:rPr>
            </w:pPr>
            <w:r>
              <w:rPr>
                <w:rFonts w:hint="eastAsia" w:ascii="仿宋" w:hAnsi="仿宋" w:eastAsia="仿宋" w:cs="仿宋"/>
                <w:sz w:val="19"/>
                <w:szCs w:val="19"/>
              </w:rPr>
              <w:t>1</w:t>
            </w:r>
          </w:p>
        </w:tc>
      </w:tr>
      <w:tr w14:paraId="00C731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9" w:hRule="atLeast"/>
          <w:jc w:val="center"/>
        </w:trPr>
        <w:tc>
          <w:tcPr>
            <w:tcW w:w="1713" w:type="dxa"/>
            <w:vMerge w:val="continue"/>
          </w:tcPr>
          <w:p w14:paraId="19AF859F">
            <w:pPr>
              <w:spacing w:before="69" w:line="227" w:lineRule="auto"/>
              <w:ind w:left="464"/>
              <w:rPr>
                <w:rFonts w:ascii="黑体" w:hAnsi="黑体" w:eastAsia="黑体" w:cs="黑体"/>
                <w:spacing w:val="7"/>
                <w:sz w:val="19"/>
                <w:szCs w:val="19"/>
              </w:rPr>
            </w:pPr>
          </w:p>
        </w:tc>
        <w:tc>
          <w:tcPr>
            <w:tcW w:w="1526" w:type="dxa"/>
            <w:vMerge w:val="continue"/>
            <w:vAlign w:val="center"/>
          </w:tcPr>
          <w:p w14:paraId="2CC25CE0">
            <w:pPr>
              <w:spacing w:before="69" w:line="227" w:lineRule="auto"/>
              <w:ind w:left="369"/>
              <w:rPr>
                <w:rFonts w:ascii="黑体" w:hAnsi="黑体" w:eastAsia="黑体" w:cs="黑体"/>
                <w:spacing w:val="7"/>
                <w:sz w:val="19"/>
                <w:szCs w:val="19"/>
              </w:rPr>
            </w:pPr>
          </w:p>
        </w:tc>
        <w:tc>
          <w:tcPr>
            <w:tcW w:w="1507" w:type="dxa"/>
            <w:tcBorders>
              <w:right w:val="single" w:color="auto" w:sz="4" w:space="0"/>
            </w:tcBorders>
            <w:vAlign w:val="center"/>
          </w:tcPr>
          <w:p w14:paraId="4754D026">
            <w:pPr>
              <w:spacing w:line="227" w:lineRule="auto"/>
              <w:ind w:left="122"/>
              <w:rPr>
                <w:rFonts w:ascii="仿宋" w:hAnsi="仿宋" w:eastAsia="仿宋" w:cs="仿宋"/>
                <w:spacing w:val="1"/>
                <w:sz w:val="19"/>
                <w:szCs w:val="19"/>
              </w:rPr>
            </w:pPr>
            <w:r>
              <w:rPr>
                <w:rFonts w:hint="eastAsia" w:ascii="仿宋" w:hAnsi="仿宋" w:eastAsia="仿宋" w:cs="仿宋"/>
                <w:spacing w:val="1"/>
                <w:sz w:val="19"/>
                <w:szCs w:val="19"/>
              </w:rPr>
              <w:t>C62 卫生监督投诉举报案件办理情况</w:t>
            </w:r>
          </w:p>
        </w:tc>
        <w:tc>
          <w:tcPr>
            <w:tcW w:w="1228" w:type="dxa"/>
            <w:tcBorders>
              <w:top w:val="single" w:color="auto" w:sz="4" w:space="0"/>
              <w:left w:val="single" w:color="auto" w:sz="4" w:space="0"/>
              <w:bottom w:val="single" w:color="auto" w:sz="4" w:space="0"/>
              <w:right w:val="single" w:color="auto" w:sz="4" w:space="0"/>
            </w:tcBorders>
            <w:vAlign w:val="center"/>
          </w:tcPr>
          <w:p w14:paraId="3D731E54">
            <w:pPr>
              <w:spacing w:before="215" w:line="228" w:lineRule="auto"/>
              <w:jc w:val="center"/>
              <w:rPr>
                <w:rFonts w:ascii="仿宋" w:hAnsi="仿宋" w:eastAsia="仿宋" w:cs="仿宋"/>
                <w:sz w:val="19"/>
                <w:szCs w:val="19"/>
              </w:rPr>
            </w:pPr>
            <w:r>
              <w:rPr>
                <w:rFonts w:hint="eastAsia" w:ascii="仿宋" w:hAnsi="仿宋" w:eastAsia="仿宋" w:cs="仿宋"/>
                <w:sz w:val="19"/>
                <w:szCs w:val="19"/>
              </w:rPr>
              <w:t>=100%</w:t>
            </w:r>
          </w:p>
        </w:tc>
        <w:tc>
          <w:tcPr>
            <w:tcW w:w="2563" w:type="dxa"/>
            <w:tcBorders>
              <w:top w:val="single" w:color="auto" w:sz="4" w:space="0"/>
              <w:left w:val="single" w:color="auto" w:sz="4" w:space="0"/>
              <w:bottom w:val="single" w:color="auto" w:sz="4" w:space="0"/>
              <w:right w:val="single" w:color="auto" w:sz="4" w:space="0"/>
            </w:tcBorders>
            <w:vAlign w:val="center"/>
          </w:tcPr>
          <w:p w14:paraId="18771BFC">
            <w:pPr>
              <w:spacing w:before="59" w:line="264" w:lineRule="auto"/>
              <w:ind w:right="104"/>
              <w:rPr>
                <w:rFonts w:ascii="仿宋" w:hAnsi="仿宋" w:eastAsia="仿宋" w:cs="仿宋"/>
                <w:spacing w:val="8"/>
                <w:sz w:val="19"/>
                <w:szCs w:val="19"/>
              </w:rPr>
            </w:pPr>
            <w:r>
              <w:rPr>
                <w:rFonts w:hint="eastAsia" w:ascii="仿宋" w:hAnsi="仿宋" w:eastAsia="仿宋" w:cs="仿宋"/>
                <w:spacing w:val="8"/>
                <w:sz w:val="19"/>
                <w:szCs w:val="19"/>
              </w:rPr>
              <w:t>考察南京市卫生监督所对职能范围内投诉举报立案的案件办理完成率。</w:t>
            </w:r>
          </w:p>
        </w:tc>
        <w:tc>
          <w:tcPr>
            <w:tcW w:w="3808" w:type="dxa"/>
            <w:tcBorders>
              <w:top w:val="single" w:color="auto" w:sz="4" w:space="0"/>
              <w:left w:val="single" w:color="auto" w:sz="4" w:space="0"/>
              <w:bottom w:val="single" w:color="auto" w:sz="4" w:space="0"/>
              <w:right w:val="single" w:color="auto" w:sz="4" w:space="0"/>
            </w:tcBorders>
            <w:vAlign w:val="center"/>
          </w:tcPr>
          <w:p w14:paraId="230B91FD">
            <w:pPr>
              <w:spacing w:before="59" w:line="264" w:lineRule="auto"/>
              <w:ind w:right="103"/>
              <w:rPr>
                <w:rFonts w:ascii="仿宋" w:hAnsi="仿宋" w:eastAsia="仿宋" w:cs="仿宋"/>
                <w:spacing w:val="12"/>
                <w:sz w:val="19"/>
                <w:szCs w:val="19"/>
              </w:rPr>
            </w:pPr>
            <w:r>
              <w:rPr>
                <w:rFonts w:hint="eastAsia" w:ascii="仿宋" w:hAnsi="仿宋" w:eastAsia="仿宋" w:cs="仿宋"/>
                <w:sz w:val="19"/>
                <w:szCs w:val="19"/>
              </w:rPr>
              <w:t>按相关要求</w:t>
            </w:r>
            <w:r>
              <w:rPr>
                <w:rFonts w:hint="eastAsia" w:ascii="仿宋" w:hAnsi="仿宋" w:eastAsia="仿宋" w:cs="仿宋"/>
                <w:spacing w:val="8"/>
                <w:sz w:val="19"/>
                <w:szCs w:val="19"/>
              </w:rPr>
              <w:t>对职能范围内投诉举报立案的案件全部办理完成</w:t>
            </w:r>
            <w:r>
              <w:rPr>
                <w:rFonts w:hint="eastAsia" w:ascii="仿宋" w:hAnsi="仿宋" w:eastAsia="仿宋" w:cs="仿宋"/>
                <w:sz w:val="19"/>
                <w:szCs w:val="19"/>
              </w:rPr>
              <w:t>得1分，每降低或超过一个百分点扣减 1% 权重分， 扣完即止。</w:t>
            </w:r>
          </w:p>
        </w:tc>
        <w:tc>
          <w:tcPr>
            <w:tcW w:w="801" w:type="dxa"/>
            <w:tcBorders>
              <w:top w:val="single" w:color="auto" w:sz="4" w:space="0"/>
              <w:left w:val="single" w:color="auto" w:sz="4" w:space="0"/>
              <w:bottom w:val="single" w:color="auto" w:sz="4" w:space="0"/>
              <w:right w:val="single" w:color="auto" w:sz="4" w:space="0"/>
            </w:tcBorders>
            <w:vAlign w:val="center"/>
          </w:tcPr>
          <w:p w14:paraId="3C10C33A">
            <w:pPr>
              <w:spacing w:before="252" w:line="184" w:lineRule="auto"/>
              <w:ind w:left="356"/>
              <w:rPr>
                <w:rFonts w:ascii="仿宋" w:hAnsi="仿宋" w:eastAsia="仿宋" w:cs="仿宋"/>
                <w:sz w:val="19"/>
                <w:szCs w:val="19"/>
              </w:rPr>
            </w:pPr>
            <w:r>
              <w:rPr>
                <w:rFonts w:hint="eastAsia" w:ascii="仿宋" w:hAnsi="仿宋" w:eastAsia="仿宋" w:cs="仿宋"/>
                <w:sz w:val="19"/>
                <w:szCs w:val="19"/>
              </w:rPr>
              <w:t>1</w:t>
            </w:r>
          </w:p>
        </w:tc>
        <w:tc>
          <w:tcPr>
            <w:tcW w:w="809" w:type="dxa"/>
            <w:tcBorders>
              <w:top w:val="single" w:color="auto" w:sz="4" w:space="0"/>
              <w:left w:val="single" w:color="auto" w:sz="4" w:space="0"/>
              <w:bottom w:val="single" w:color="auto" w:sz="4" w:space="0"/>
              <w:right w:val="single" w:color="auto" w:sz="4" w:space="0"/>
            </w:tcBorders>
            <w:vAlign w:val="center"/>
          </w:tcPr>
          <w:p w14:paraId="1B6A636D">
            <w:pPr>
              <w:spacing w:before="252" w:line="184" w:lineRule="auto"/>
              <w:ind w:left="357"/>
              <w:rPr>
                <w:rFonts w:ascii="仿宋" w:hAnsi="仿宋" w:eastAsia="仿宋" w:cs="仿宋"/>
                <w:sz w:val="19"/>
                <w:szCs w:val="19"/>
              </w:rPr>
            </w:pPr>
            <w:r>
              <w:rPr>
                <w:rFonts w:hint="eastAsia" w:ascii="仿宋" w:hAnsi="仿宋" w:eastAsia="仿宋" w:cs="仿宋"/>
                <w:sz w:val="19"/>
                <w:szCs w:val="19"/>
              </w:rPr>
              <w:t>1</w:t>
            </w:r>
          </w:p>
        </w:tc>
      </w:tr>
      <w:tr w14:paraId="66D59E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1" w:hRule="atLeast"/>
          <w:jc w:val="center"/>
        </w:trPr>
        <w:tc>
          <w:tcPr>
            <w:tcW w:w="1713" w:type="dxa"/>
            <w:vMerge w:val="restart"/>
            <w:vAlign w:val="center"/>
          </w:tcPr>
          <w:p w14:paraId="66038893">
            <w:pPr>
              <w:spacing w:before="61" w:line="312" w:lineRule="exact"/>
              <w:ind w:left="113"/>
              <w:jc w:val="center"/>
              <w:rPr>
                <w:rFonts w:ascii="仿宋" w:hAnsi="仿宋" w:eastAsia="仿宋" w:cs="仿宋"/>
                <w:position w:val="8"/>
                <w:sz w:val="19"/>
                <w:szCs w:val="19"/>
              </w:rPr>
            </w:pPr>
            <w:r>
              <w:rPr>
                <w:rFonts w:hint="eastAsia" w:ascii="仿宋" w:hAnsi="仿宋" w:eastAsia="仿宋" w:cs="仿宋"/>
                <w:position w:val="8"/>
                <w:sz w:val="19"/>
                <w:szCs w:val="19"/>
              </w:rPr>
              <w:t>D 效益</w:t>
            </w:r>
          </w:p>
          <w:p w14:paraId="135FCB58">
            <w:pPr>
              <w:spacing w:before="61" w:line="312" w:lineRule="exact"/>
              <w:ind w:left="113"/>
              <w:jc w:val="center"/>
              <w:rPr>
                <w:rFonts w:ascii="仿宋" w:hAnsi="仿宋" w:eastAsia="仿宋" w:cs="仿宋"/>
                <w:position w:val="8"/>
                <w:sz w:val="19"/>
                <w:szCs w:val="19"/>
              </w:rPr>
            </w:pPr>
            <w:r>
              <w:rPr>
                <w:rFonts w:hint="eastAsia" w:ascii="仿宋" w:hAnsi="仿宋" w:eastAsia="仿宋" w:cs="仿宋"/>
                <w:position w:val="8"/>
                <w:sz w:val="19"/>
                <w:szCs w:val="19"/>
              </w:rPr>
              <w:t>（12分）</w:t>
            </w:r>
          </w:p>
        </w:tc>
        <w:tc>
          <w:tcPr>
            <w:tcW w:w="1526" w:type="dxa"/>
            <w:vMerge w:val="restart"/>
            <w:vAlign w:val="center"/>
          </w:tcPr>
          <w:p w14:paraId="398CB91D">
            <w:pPr>
              <w:spacing w:before="58" w:line="267" w:lineRule="auto"/>
              <w:ind w:left="119" w:right="105" w:hanging="10"/>
              <w:jc w:val="center"/>
              <w:rPr>
                <w:rFonts w:ascii="仿宋" w:hAnsi="仿宋" w:eastAsia="仿宋" w:cs="仿宋"/>
                <w:sz w:val="19"/>
                <w:szCs w:val="19"/>
              </w:rPr>
            </w:pPr>
            <w:r>
              <w:rPr>
                <w:rFonts w:hint="eastAsia" w:ascii="仿宋" w:hAnsi="仿宋" w:eastAsia="仿宋" w:cs="仿宋"/>
                <w:sz w:val="19"/>
                <w:szCs w:val="19"/>
              </w:rPr>
              <w:t>D1 社会效益</w:t>
            </w:r>
          </w:p>
          <w:p w14:paraId="38F748F7">
            <w:pPr>
              <w:spacing w:before="58" w:line="267" w:lineRule="auto"/>
              <w:ind w:left="119" w:right="105" w:hanging="10"/>
              <w:jc w:val="center"/>
              <w:rPr>
                <w:rFonts w:ascii="仿宋" w:hAnsi="仿宋" w:eastAsia="仿宋" w:cs="仿宋"/>
                <w:sz w:val="19"/>
                <w:szCs w:val="19"/>
              </w:rPr>
            </w:pPr>
            <w:r>
              <w:rPr>
                <w:rFonts w:ascii="仿宋" w:hAnsi="仿宋" w:eastAsia="仿宋" w:cs="仿宋"/>
                <w:spacing w:val="11"/>
                <w:sz w:val="19"/>
                <w:szCs w:val="19"/>
              </w:rPr>
              <w:t>(</w:t>
            </w:r>
            <w:r>
              <w:rPr>
                <w:rFonts w:hint="eastAsia" w:ascii="仿宋" w:hAnsi="仿宋" w:eastAsia="仿宋" w:cs="仿宋"/>
                <w:spacing w:val="11"/>
                <w:sz w:val="19"/>
                <w:szCs w:val="19"/>
              </w:rPr>
              <w:t>5</w:t>
            </w:r>
            <w:r>
              <w:rPr>
                <w:rFonts w:ascii="仿宋" w:hAnsi="仿宋" w:eastAsia="仿宋" w:cs="仿宋"/>
                <w:spacing w:val="11"/>
                <w:sz w:val="19"/>
                <w:szCs w:val="19"/>
              </w:rPr>
              <w:t xml:space="preserve"> 分</w:t>
            </w:r>
            <w:r>
              <w:rPr>
                <w:rFonts w:ascii="仿宋" w:hAnsi="仿宋" w:eastAsia="仿宋" w:cs="仿宋"/>
                <w:spacing w:val="10"/>
                <w:sz w:val="19"/>
                <w:szCs w:val="19"/>
              </w:rPr>
              <w:t>)</w:t>
            </w:r>
          </w:p>
        </w:tc>
        <w:tc>
          <w:tcPr>
            <w:tcW w:w="1507" w:type="dxa"/>
            <w:tcBorders>
              <w:right w:val="single" w:color="auto" w:sz="4" w:space="0"/>
            </w:tcBorders>
            <w:vAlign w:val="center"/>
          </w:tcPr>
          <w:p w14:paraId="74A0753E">
            <w:pPr>
              <w:spacing w:line="227" w:lineRule="auto"/>
              <w:ind w:left="122"/>
              <w:rPr>
                <w:rFonts w:ascii="仿宋" w:hAnsi="仿宋" w:eastAsia="仿宋" w:cs="仿宋"/>
                <w:spacing w:val="1"/>
                <w:sz w:val="19"/>
                <w:szCs w:val="19"/>
              </w:rPr>
            </w:pPr>
            <w:r>
              <w:rPr>
                <w:rFonts w:hint="eastAsia" w:ascii="仿宋" w:hAnsi="仿宋" w:eastAsia="仿宋" w:cs="仿宋"/>
                <w:spacing w:val="1"/>
                <w:sz w:val="19"/>
                <w:szCs w:val="19"/>
              </w:rPr>
              <w:t>D11 食品安全跟踪评价完成率</w:t>
            </w:r>
          </w:p>
        </w:tc>
        <w:tc>
          <w:tcPr>
            <w:tcW w:w="1228" w:type="dxa"/>
            <w:tcBorders>
              <w:top w:val="single" w:color="auto" w:sz="4" w:space="0"/>
              <w:left w:val="single" w:color="auto" w:sz="4" w:space="0"/>
              <w:bottom w:val="single" w:color="auto" w:sz="4" w:space="0"/>
              <w:right w:val="single" w:color="auto" w:sz="4" w:space="0"/>
            </w:tcBorders>
            <w:vAlign w:val="center"/>
          </w:tcPr>
          <w:p w14:paraId="52837C40">
            <w:pPr>
              <w:spacing w:before="59" w:line="264" w:lineRule="auto"/>
              <w:ind w:right="104"/>
              <w:jc w:val="center"/>
              <w:rPr>
                <w:rFonts w:ascii="仿宋" w:hAnsi="仿宋" w:eastAsia="仿宋" w:cs="仿宋"/>
                <w:sz w:val="19"/>
                <w:szCs w:val="19"/>
              </w:rPr>
            </w:pPr>
            <w:r>
              <w:rPr>
                <w:rFonts w:hint="eastAsia" w:ascii="仿宋" w:hAnsi="仿宋" w:eastAsia="仿宋" w:cs="仿宋"/>
                <w:sz w:val="19"/>
                <w:szCs w:val="19"/>
              </w:rPr>
              <w:t>≧90%</w:t>
            </w:r>
          </w:p>
        </w:tc>
        <w:tc>
          <w:tcPr>
            <w:tcW w:w="2563" w:type="dxa"/>
            <w:tcBorders>
              <w:top w:val="single" w:color="auto" w:sz="4" w:space="0"/>
              <w:left w:val="single" w:color="auto" w:sz="4" w:space="0"/>
              <w:bottom w:val="single" w:color="auto" w:sz="4" w:space="0"/>
              <w:right w:val="single" w:color="auto" w:sz="4" w:space="0"/>
            </w:tcBorders>
          </w:tcPr>
          <w:p w14:paraId="00DE9CC4">
            <w:pPr>
              <w:spacing w:before="59" w:line="264" w:lineRule="auto"/>
              <w:ind w:right="104"/>
              <w:rPr>
                <w:rFonts w:ascii="仿宋" w:hAnsi="仿宋" w:eastAsia="仿宋" w:cs="仿宋"/>
                <w:sz w:val="19"/>
                <w:szCs w:val="19"/>
              </w:rPr>
            </w:pPr>
            <w:r>
              <w:rPr>
                <w:rFonts w:ascii="仿宋" w:hAnsi="仿宋" w:eastAsia="仿宋" w:cs="仿宋"/>
                <w:sz w:val="19"/>
                <w:szCs w:val="19"/>
              </w:rPr>
              <w:t>考察</w:t>
            </w:r>
            <w:r>
              <w:rPr>
                <w:rFonts w:hint="eastAsia" w:ascii="仿宋" w:hAnsi="仿宋" w:eastAsia="仿宋" w:cs="仿宋"/>
                <w:sz w:val="19"/>
                <w:szCs w:val="19"/>
              </w:rPr>
              <w:t>南京市卫生监督所食品安全标准跟踪评价完成率</w:t>
            </w:r>
            <w:r>
              <w:rPr>
                <w:rFonts w:ascii="仿宋" w:hAnsi="仿宋" w:eastAsia="仿宋" w:cs="仿宋"/>
                <w:sz w:val="19"/>
                <w:szCs w:val="19"/>
              </w:rPr>
              <w:t>。</w:t>
            </w:r>
          </w:p>
        </w:tc>
        <w:tc>
          <w:tcPr>
            <w:tcW w:w="3808" w:type="dxa"/>
            <w:tcBorders>
              <w:top w:val="single" w:color="auto" w:sz="4" w:space="0"/>
              <w:left w:val="single" w:color="auto" w:sz="4" w:space="0"/>
              <w:bottom w:val="single" w:color="auto" w:sz="4" w:space="0"/>
              <w:right w:val="single" w:color="auto" w:sz="4" w:space="0"/>
            </w:tcBorders>
          </w:tcPr>
          <w:p w14:paraId="714EA73C">
            <w:pPr>
              <w:spacing w:before="59" w:line="264" w:lineRule="auto"/>
              <w:ind w:right="103"/>
              <w:rPr>
                <w:rFonts w:ascii="仿宋" w:hAnsi="仿宋" w:eastAsia="仿宋" w:cs="仿宋"/>
                <w:spacing w:val="12"/>
                <w:sz w:val="19"/>
                <w:szCs w:val="19"/>
              </w:rPr>
            </w:pPr>
            <w:r>
              <w:rPr>
                <w:rFonts w:hint="eastAsia" w:ascii="仿宋" w:hAnsi="仿宋" w:eastAsia="仿宋" w:cs="仿宋"/>
                <w:spacing w:val="12"/>
                <w:sz w:val="19"/>
                <w:szCs w:val="19"/>
              </w:rPr>
              <w:t xml:space="preserve"> 标准跟踪评价完成率</w:t>
            </w:r>
            <w:r>
              <w:rPr>
                <w:rFonts w:hint="eastAsia" w:ascii="宋体" w:hAnsi="宋体" w:eastAsia="宋体" w:cs="宋体"/>
                <w:sz w:val="19"/>
                <w:szCs w:val="19"/>
              </w:rPr>
              <w:t>≧</w:t>
            </w:r>
            <w:r>
              <w:rPr>
                <w:rFonts w:hint="eastAsia" w:ascii="仿宋" w:hAnsi="仿宋" w:eastAsia="仿宋" w:cs="仿宋"/>
                <w:sz w:val="19"/>
                <w:szCs w:val="19"/>
              </w:rPr>
              <w:t>90%，每降低或超过一个百分点扣减 1% 权重分， 扣完即止。</w:t>
            </w:r>
          </w:p>
        </w:tc>
        <w:tc>
          <w:tcPr>
            <w:tcW w:w="801" w:type="dxa"/>
            <w:tcBorders>
              <w:top w:val="single" w:color="auto" w:sz="4" w:space="0"/>
              <w:left w:val="single" w:color="auto" w:sz="4" w:space="0"/>
              <w:bottom w:val="single" w:color="auto" w:sz="4" w:space="0"/>
              <w:right w:val="single" w:color="auto" w:sz="4" w:space="0"/>
            </w:tcBorders>
          </w:tcPr>
          <w:p w14:paraId="67D57DD5">
            <w:pPr>
              <w:spacing w:before="252" w:line="184" w:lineRule="auto"/>
              <w:ind w:left="356"/>
              <w:rPr>
                <w:rFonts w:ascii="仿宋" w:hAnsi="仿宋" w:eastAsia="仿宋" w:cs="仿宋"/>
                <w:sz w:val="19"/>
                <w:szCs w:val="19"/>
              </w:rPr>
            </w:pPr>
            <w:r>
              <w:rPr>
                <w:rFonts w:hint="eastAsia" w:ascii="仿宋" w:hAnsi="仿宋" w:eastAsia="仿宋" w:cs="仿宋"/>
                <w:sz w:val="19"/>
                <w:szCs w:val="19"/>
              </w:rPr>
              <w:t>1</w:t>
            </w:r>
          </w:p>
        </w:tc>
        <w:tc>
          <w:tcPr>
            <w:tcW w:w="809" w:type="dxa"/>
            <w:tcBorders>
              <w:top w:val="single" w:color="auto" w:sz="4" w:space="0"/>
              <w:left w:val="single" w:color="auto" w:sz="4" w:space="0"/>
              <w:bottom w:val="single" w:color="auto" w:sz="4" w:space="0"/>
              <w:right w:val="single" w:color="auto" w:sz="4" w:space="0"/>
            </w:tcBorders>
          </w:tcPr>
          <w:p w14:paraId="5E901EF7">
            <w:pPr>
              <w:spacing w:before="252" w:line="184" w:lineRule="auto"/>
              <w:ind w:left="357"/>
              <w:rPr>
                <w:rFonts w:ascii="仿宋" w:hAnsi="仿宋" w:eastAsia="仿宋" w:cs="仿宋"/>
                <w:sz w:val="19"/>
                <w:szCs w:val="19"/>
              </w:rPr>
            </w:pPr>
            <w:r>
              <w:rPr>
                <w:rFonts w:hint="eastAsia" w:ascii="仿宋" w:hAnsi="仿宋" w:eastAsia="仿宋" w:cs="仿宋"/>
                <w:sz w:val="19"/>
                <w:szCs w:val="19"/>
              </w:rPr>
              <w:t>1</w:t>
            </w:r>
          </w:p>
        </w:tc>
      </w:tr>
      <w:tr w14:paraId="4EC914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jc w:val="center"/>
        </w:trPr>
        <w:tc>
          <w:tcPr>
            <w:tcW w:w="1713" w:type="dxa"/>
            <w:vMerge w:val="continue"/>
          </w:tcPr>
          <w:p w14:paraId="0FB9BAE5">
            <w:pPr>
              <w:spacing w:before="69" w:line="227" w:lineRule="auto"/>
              <w:ind w:left="464"/>
              <w:rPr>
                <w:rFonts w:ascii="黑体" w:hAnsi="黑体" w:eastAsia="黑体" w:cs="黑体"/>
                <w:spacing w:val="7"/>
                <w:sz w:val="19"/>
                <w:szCs w:val="19"/>
              </w:rPr>
            </w:pPr>
          </w:p>
        </w:tc>
        <w:tc>
          <w:tcPr>
            <w:tcW w:w="1526" w:type="dxa"/>
            <w:vMerge w:val="continue"/>
          </w:tcPr>
          <w:p w14:paraId="1FAEB7CB">
            <w:pPr>
              <w:spacing w:before="69" w:line="227" w:lineRule="auto"/>
              <w:ind w:left="369"/>
              <w:rPr>
                <w:rFonts w:ascii="黑体" w:hAnsi="黑体" w:eastAsia="黑体" w:cs="黑体"/>
                <w:spacing w:val="7"/>
                <w:sz w:val="19"/>
                <w:szCs w:val="19"/>
              </w:rPr>
            </w:pPr>
          </w:p>
        </w:tc>
        <w:tc>
          <w:tcPr>
            <w:tcW w:w="1507" w:type="dxa"/>
            <w:vAlign w:val="center"/>
          </w:tcPr>
          <w:p w14:paraId="25C97EEB">
            <w:pPr>
              <w:spacing w:line="227" w:lineRule="auto"/>
              <w:ind w:left="122"/>
              <w:rPr>
                <w:rFonts w:ascii="仿宋" w:hAnsi="仿宋" w:eastAsia="仿宋" w:cs="仿宋"/>
                <w:spacing w:val="1"/>
                <w:sz w:val="19"/>
                <w:szCs w:val="19"/>
              </w:rPr>
            </w:pPr>
            <w:r>
              <w:rPr>
                <w:rFonts w:hint="eastAsia" w:ascii="仿宋" w:hAnsi="仿宋" w:eastAsia="仿宋" w:cs="仿宋"/>
                <w:spacing w:val="1"/>
                <w:sz w:val="19"/>
                <w:szCs w:val="19"/>
              </w:rPr>
              <w:t>D12 有效应对突发公共卫生应急事件</w:t>
            </w:r>
          </w:p>
        </w:tc>
        <w:tc>
          <w:tcPr>
            <w:tcW w:w="1228" w:type="dxa"/>
            <w:vAlign w:val="center"/>
          </w:tcPr>
          <w:p w14:paraId="5C3B842B">
            <w:pPr>
              <w:spacing w:before="215" w:line="228" w:lineRule="auto"/>
              <w:jc w:val="center"/>
              <w:rPr>
                <w:rFonts w:ascii="仿宋" w:hAnsi="仿宋" w:eastAsia="仿宋" w:cs="仿宋"/>
                <w:sz w:val="19"/>
                <w:szCs w:val="19"/>
              </w:rPr>
            </w:pPr>
            <w:r>
              <w:rPr>
                <w:rFonts w:hint="eastAsia" w:ascii="仿宋" w:hAnsi="仿宋" w:eastAsia="仿宋" w:cs="仿宋"/>
                <w:sz w:val="19"/>
                <w:szCs w:val="19"/>
              </w:rPr>
              <w:t>有效</w:t>
            </w:r>
          </w:p>
        </w:tc>
        <w:tc>
          <w:tcPr>
            <w:tcW w:w="2563" w:type="dxa"/>
          </w:tcPr>
          <w:p w14:paraId="4A3D361E">
            <w:pPr>
              <w:spacing w:before="59" w:line="264" w:lineRule="auto"/>
              <w:ind w:right="104"/>
              <w:rPr>
                <w:rFonts w:ascii="仿宋" w:hAnsi="仿宋" w:eastAsia="仿宋" w:cs="仿宋"/>
                <w:spacing w:val="22"/>
                <w:sz w:val="19"/>
                <w:szCs w:val="19"/>
              </w:rPr>
            </w:pPr>
            <w:r>
              <w:rPr>
                <w:rFonts w:ascii="仿宋" w:hAnsi="仿宋" w:eastAsia="仿宋" w:cs="仿宋"/>
                <w:spacing w:val="8"/>
                <w:sz w:val="19"/>
                <w:szCs w:val="19"/>
              </w:rPr>
              <w:t>考察</w:t>
            </w:r>
            <w:r>
              <w:rPr>
                <w:rFonts w:hint="eastAsia" w:ascii="仿宋" w:hAnsi="仿宋" w:eastAsia="仿宋" w:cs="仿宋"/>
                <w:spacing w:val="8"/>
                <w:sz w:val="19"/>
                <w:szCs w:val="19"/>
              </w:rPr>
              <w:t>南京市卫生监督所应对突发公共卫生应急事件处置是否及时有效</w:t>
            </w:r>
            <w:r>
              <w:rPr>
                <w:rFonts w:ascii="仿宋" w:hAnsi="仿宋" w:eastAsia="仿宋" w:cs="仿宋"/>
                <w:spacing w:val="8"/>
                <w:sz w:val="19"/>
                <w:szCs w:val="19"/>
              </w:rPr>
              <w:t>。</w:t>
            </w:r>
          </w:p>
        </w:tc>
        <w:tc>
          <w:tcPr>
            <w:tcW w:w="3808" w:type="dxa"/>
          </w:tcPr>
          <w:p w14:paraId="6D6D2C21">
            <w:pPr>
              <w:spacing w:before="59" w:line="264" w:lineRule="auto"/>
              <w:ind w:right="103"/>
              <w:rPr>
                <w:rFonts w:ascii="仿宋" w:hAnsi="仿宋" w:eastAsia="仿宋" w:cs="仿宋"/>
                <w:spacing w:val="12"/>
                <w:sz w:val="19"/>
                <w:szCs w:val="19"/>
              </w:rPr>
            </w:pPr>
            <w:r>
              <w:rPr>
                <w:rFonts w:hint="eastAsia" w:ascii="仿宋" w:hAnsi="仿宋" w:eastAsia="仿宋" w:cs="仿宋"/>
                <w:spacing w:val="12"/>
                <w:sz w:val="19"/>
                <w:szCs w:val="19"/>
              </w:rPr>
              <w:t xml:space="preserve"> 处理突发公共卫生应急事件及时有效得1分，否则不得分</w:t>
            </w:r>
            <w:r>
              <w:rPr>
                <w:rFonts w:hint="eastAsia" w:ascii="仿宋" w:hAnsi="仿宋" w:eastAsia="仿宋" w:cs="仿宋"/>
                <w:sz w:val="19"/>
                <w:szCs w:val="19"/>
              </w:rPr>
              <w:t>。</w:t>
            </w:r>
          </w:p>
        </w:tc>
        <w:tc>
          <w:tcPr>
            <w:tcW w:w="801" w:type="dxa"/>
          </w:tcPr>
          <w:p w14:paraId="0029AE8F">
            <w:pPr>
              <w:spacing w:before="252" w:line="184" w:lineRule="auto"/>
              <w:ind w:left="356"/>
              <w:rPr>
                <w:rFonts w:ascii="仿宋" w:hAnsi="仿宋" w:eastAsia="仿宋" w:cs="仿宋"/>
                <w:sz w:val="19"/>
                <w:szCs w:val="19"/>
              </w:rPr>
            </w:pPr>
            <w:r>
              <w:rPr>
                <w:rFonts w:hint="eastAsia" w:ascii="仿宋" w:hAnsi="仿宋" w:eastAsia="仿宋" w:cs="仿宋"/>
                <w:sz w:val="19"/>
                <w:szCs w:val="19"/>
              </w:rPr>
              <w:t>1</w:t>
            </w:r>
          </w:p>
        </w:tc>
        <w:tc>
          <w:tcPr>
            <w:tcW w:w="809" w:type="dxa"/>
          </w:tcPr>
          <w:p w14:paraId="71E16656">
            <w:pPr>
              <w:spacing w:before="252" w:line="184" w:lineRule="auto"/>
              <w:ind w:left="357"/>
              <w:rPr>
                <w:rFonts w:ascii="仿宋" w:hAnsi="仿宋" w:eastAsia="仿宋" w:cs="仿宋"/>
                <w:sz w:val="19"/>
                <w:szCs w:val="19"/>
              </w:rPr>
            </w:pPr>
            <w:r>
              <w:rPr>
                <w:rFonts w:hint="eastAsia" w:ascii="仿宋" w:hAnsi="仿宋" w:eastAsia="仿宋" w:cs="仿宋"/>
                <w:sz w:val="19"/>
                <w:szCs w:val="19"/>
              </w:rPr>
              <w:t>1</w:t>
            </w:r>
          </w:p>
        </w:tc>
      </w:tr>
    </w:tbl>
    <w:p w14:paraId="077DBE67"/>
    <w:p w14:paraId="7271B4B3"/>
    <w:p w14:paraId="09F1BF61"/>
    <w:p w14:paraId="0D75A316"/>
    <w:p w14:paraId="63711111"/>
    <w:tbl>
      <w:tblPr>
        <w:tblStyle w:val="10"/>
        <w:tblW w:w="139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13"/>
        <w:gridCol w:w="1526"/>
        <w:gridCol w:w="1507"/>
        <w:gridCol w:w="1228"/>
        <w:gridCol w:w="2563"/>
        <w:gridCol w:w="3808"/>
        <w:gridCol w:w="801"/>
        <w:gridCol w:w="809"/>
      </w:tblGrid>
      <w:tr w14:paraId="12766E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4746" w:type="dxa"/>
            <w:gridSpan w:val="3"/>
          </w:tcPr>
          <w:p w14:paraId="011B8A77">
            <w:pPr>
              <w:spacing w:before="59" w:line="229" w:lineRule="auto"/>
              <w:ind w:left="2176"/>
              <w:rPr>
                <w:rFonts w:ascii="黑体" w:hAnsi="黑体" w:eastAsia="黑体" w:cs="黑体"/>
                <w:sz w:val="19"/>
                <w:szCs w:val="19"/>
              </w:rPr>
            </w:pPr>
            <w:r>
              <w:rPr>
                <w:rFonts w:ascii="黑体" w:hAnsi="黑体" w:eastAsia="黑体" w:cs="黑体"/>
                <w:spacing w:val="7"/>
                <w:sz w:val="19"/>
                <w:szCs w:val="19"/>
              </w:rPr>
              <w:t>指</w:t>
            </w:r>
            <w:r>
              <w:rPr>
                <w:rFonts w:ascii="黑体" w:hAnsi="黑体" w:eastAsia="黑体" w:cs="黑体"/>
                <w:spacing w:val="6"/>
                <w:sz w:val="19"/>
                <w:szCs w:val="19"/>
              </w:rPr>
              <w:t>标</w:t>
            </w:r>
          </w:p>
        </w:tc>
        <w:tc>
          <w:tcPr>
            <w:tcW w:w="1228" w:type="dxa"/>
            <w:vMerge w:val="restart"/>
            <w:tcBorders>
              <w:bottom w:val="nil"/>
            </w:tcBorders>
          </w:tcPr>
          <w:p w14:paraId="00A35D7B">
            <w:pPr>
              <w:spacing w:before="234" w:line="230" w:lineRule="auto"/>
              <w:ind w:left="313"/>
              <w:rPr>
                <w:rFonts w:ascii="黑体" w:hAnsi="黑体" w:eastAsia="黑体" w:cs="黑体"/>
                <w:sz w:val="19"/>
                <w:szCs w:val="19"/>
              </w:rPr>
            </w:pPr>
            <w:r>
              <w:rPr>
                <w:rFonts w:ascii="黑体" w:hAnsi="黑体" w:eastAsia="黑体" w:cs="黑体"/>
                <w:spacing w:val="9"/>
                <w:sz w:val="19"/>
                <w:szCs w:val="19"/>
              </w:rPr>
              <w:t>标</w:t>
            </w:r>
            <w:r>
              <w:rPr>
                <w:rFonts w:ascii="黑体" w:hAnsi="黑体" w:eastAsia="黑体" w:cs="黑体"/>
                <w:spacing w:val="8"/>
                <w:sz w:val="19"/>
                <w:szCs w:val="19"/>
              </w:rPr>
              <w:t>准值</w:t>
            </w:r>
          </w:p>
        </w:tc>
        <w:tc>
          <w:tcPr>
            <w:tcW w:w="2563" w:type="dxa"/>
            <w:vMerge w:val="restart"/>
            <w:tcBorders>
              <w:bottom w:val="nil"/>
            </w:tcBorders>
          </w:tcPr>
          <w:p w14:paraId="5CC3BECA">
            <w:pPr>
              <w:spacing w:before="234" w:line="228" w:lineRule="auto"/>
              <w:ind w:left="886"/>
              <w:rPr>
                <w:rFonts w:ascii="黑体" w:hAnsi="黑体" w:eastAsia="黑体" w:cs="黑体"/>
                <w:sz w:val="19"/>
                <w:szCs w:val="19"/>
              </w:rPr>
            </w:pPr>
            <w:r>
              <w:rPr>
                <w:rFonts w:ascii="黑体" w:hAnsi="黑体" w:eastAsia="黑体" w:cs="黑体"/>
                <w:spacing w:val="8"/>
                <w:sz w:val="19"/>
                <w:szCs w:val="19"/>
              </w:rPr>
              <w:t>指标解释</w:t>
            </w:r>
          </w:p>
        </w:tc>
        <w:tc>
          <w:tcPr>
            <w:tcW w:w="3808" w:type="dxa"/>
            <w:vMerge w:val="restart"/>
            <w:tcBorders>
              <w:bottom w:val="nil"/>
            </w:tcBorders>
          </w:tcPr>
          <w:p w14:paraId="1E1A5465">
            <w:pPr>
              <w:spacing w:before="234" w:line="228" w:lineRule="auto"/>
              <w:ind w:left="1510"/>
              <w:rPr>
                <w:rFonts w:ascii="黑体" w:hAnsi="黑体" w:eastAsia="黑体" w:cs="黑体"/>
                <w:sz w:val="19"/>
                <w:szCs w:val="19"/>
              </w:rPr>
            </w:pPr>
            <w:r>
              <w:rPr>
                <w:rFonts w:ascii="黑体" w:hAnsi="黑体" w:eastAsia="黑体" w:cs="黑体"/>
                <w:spacing w:val="8"/>
                <w:sz w:val="19"/>
                <w:szCs w:val="19"/>
              </w:rPr>
              <w:t>评价标准</w:t>
            </w:r>
          </w:p>
        </w:tc>
        <w:tc>
          <w:tcPr>
            <w:tcW w:w="801" w:type="dxa"/>
            <w:vMerge w:val="restart"/>
            <w:tcBorders>
              <w:bottom w:val="nil"/>
            </w:tcBorders>
          </w:tcPr>
          <w:p w14:paraId="4078A8C4">
            <w:pPr>
              <w:spacing w:before="234" w:line="230" w:lineRule="auto"/>
              <w:ind w:left="207"/>
              <w:rPr>
                <w:rFonts w:ascii="黑体" w:hAnsi="黑体" w:eastAsia="黑体" w:cs="黑体"/>
                <w:sz w:val="19"/>
                <w:szCs w:val="19"/>
              </w:rPr>
            </w:pPr>
            <w:r>
              <w:rPr>
                <w:rFonts w:ascii="黑体" w:hAnsi="黑体" w:eastAsia="黑体" w:cs="黑体"/>
                <w:spacing w:val="7"/>
                <w:sz w:val="19"/>
                <w:szCs w:val="19"/>
              </w:rPr>
              <w:t>权重</w:t>
            </w:r>
          </w:p>
        </w:tc>
        <w:tc>
          <w:tcPr>
            <w:tcW w:w="809" w:type="dxa"/>
            <w:vMerge w:val="restart"/>
            <w:tcBorders>
              <w:bottom w:val="nil"/>
            </w:tcBorders>
          </w:tcPr>
          <w:p w14:paraId="51A4D4D2">
            <w:pPr>
              <w:spacing w:before="234" w:line="228" w:lineRule="auto"/>
              <w:ind w:left="210"/>
              <w:rPr>
                <w:rFonts w:ascii="黑体" w:hAnsi="黑体" w:eastAsia="黑体" w:cs="黑体"/>
                <w:sz w:val="19"/>
                <w:szCs w:val="19"/>
              </w:rPr>
            </w:pPr>
            <w:r>
              <w:rPr>
                <w:rFonts w:ascii="黑体" w:hAnsi="黑体" w:eastAsia="黑体" w:cs="黑体"/>
                <w:spacing w:val="6"/>
                <w:sz w:val="19"/>
                <w:szCs w:val="19"/>
              </w:rPr>
              <w:t>得分</w:t>
            </w:r>
          </w:p>
        </w:tc>
      </w:tr>
      <w:tr w14:paraId="36F601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1713" w:type="dxa"/>
          </w:tcPr>
          <w:p w14:paraId="7C3B5C2F">
            <w:pPr>
              <w:spacing w:before="69" w:line="227" w:lineRule="auto"/>
              <w:ind w:left="464"/>
              <w:rPr>
                <w:rFonts w:ascii="黑体" w:hAnsi="黑体" w:eastAsia="黑体" w:cs="黑体"/>
                <w:sz w:val="19"/>
                <w:szCs w:val="19"/>
              </w:rPr>
            </w:pPr>
            <w:r>
              <w:rPr>
                <w:rFonts w:ascii="黑体" w:hAnsi="黑体" w:eastAsia="黑体" w:cs="黑体"/>
                <w:spacing w:val="7"/>
                <w:sz w:val="19"/>
                <w:szCs w:val="19"/>
              </w:rPr>
              <w:t>一级指标</w:t>
            </w:r>
          </w:p>
        </w:tc>
        <w:tc>
          <w:tcPr>
            <w:tcW w:w="1526" w:type="dxa"/>
          </w:tcPr>
          <w:p w14:paraId="00BCE9E0">
            <w:pPr>
              <w:spacing w:before="69" w:line="227" w:lineRule="auto"/>
              <w:ind w:left="369"/>
              <w:rPr>
                <w:rFonts w:ascii="黑体" w:hAnsi="黑体" w:eastAsia="黑体" w:cs="黑体"/>
                <w:sz w:val="19"/>
                <w:szCs w:val="19"/>
              </w:rPr>
            </w:pPr>
            <w:r>
              <w:rPr>
                <w:rFonts w:ascii="黑体" w:hAnsi="黑体" w:eastAsia="黑体" w:cs="黑体"/>
                <w:spacing w:val="7"/>
                <w:sz w:val="19"/>
                <w:szCs w:val="19"/>
              </w:rPr>
              <w:t>二级指标</w:t>
            </w:r>
          </w:p>
        </w:tc>
        <w:tc>
          <w:tcPr>
            <w:tcW w:w="1507" w:type="dxa"/>
          </w:tcPr>
          <w:p w14:paraId="5EE6825E">
            <w:pPr>
              <w:spacing w:before="69" w:line="227" w:lineRule="auto"/>
              <w:ind w:left="363"/>
              <w:rPr>
                <w:rFonts w:ascii="黑体" w:hAnsi="黑体" w:eastAsia="黑体" w:cs="黑体"/>
                <w:sz w:val="19"/>
                <w:szCs w:val="19"/>
              </w:rPr>
            </w:pPr>
            <w:r>
              <w:rPr>
                <w:rFonts w:ascii="黑体" w:hAnsi="黑体" w:eastAsia="黑体" w:cs="黑体"/>
                <w:spacing w:val="7"/>
                <w:sz w:val="19"/>
                <w:szCs w:val="19"/>
              </w:rPr>
              <w:t>三级指</w:t>
            </w:r>
            <w:r>
              <w:rPr>
                <w:rFonts w:ascii="黑体" w:hAnsi="黑体" w:eastAsia="黑体" w:cs="黑体"/>
                <w:spacing w:val="6"/>
                <w:sz w:val="19"/>
                <w:szCs w:val="19"/>
              </w:rPr>
              <w:t>标</w:t>
            </w:r>
          </w:p>
        </w:tc>
        <w:tc>
          <w:tcPr>
            <w:tcW w:w="1228" w:type="dxa"/>
            <w:vMerge w:val="continue"/>
            <w:tcBorders>
              <w:top w:val="nil"/>
            </w:tcBorders>
          </w:tcPr>
          <w:p w14:paraId="6519288A">
            <w:pPr>
              <w:rPr>
                <w:rFonts w:ascii="Arial"/>
              </w:rPr>
            </w:pPr>
          </w:p>
        </w:tc>
        <w:tc>
          <w:tcPr>
            <w:tcW w:w="2563" w:type="dxa"/>
            <w:vMerge w:val="continue"/>
            <w:tcBorders>
              <w:top w:val="nil"/>
            </w:tcBorders>
          </w:tcPr>
          <w:p w14:paraId="0A7CE4E6">
            <w:pPr>
              <w:rPr>
                <w:rFonts w:ascii="Arial"/>
              </w:rPr>
            </w:pPr>
          </w:p>
        </w:tc>
        <w:tc>
          <w:tcPr>
            <w:tcW w:w="3808" w:type="dxa"/>
            <w:vMerge w:val="continue"/>
            <w:tcBorders>
              <w:top w:val="nil"/>
            </w:tcBorders>
          </w:tcPr>
          <w:p w14:paraId="2F512F61">
            <w:pPr>
              <w:rPr>
                <w:rFonts w:ascii="Arial"/>
              </w:rPr>
            </w:pPr>
          </w:p>
        </w:tc>
        <w:tc>
          <w:tcPr>
            <w:tcW w:w="801" w:type="dxa"/>
            <w:vMerge w:val="continue"/>
            <w:tcBorders>
              <w:top w:val="nil"/>
            </w:tcBorders>
          </w:tcPr>
          <w:p w14:paraId="1DFEC5FE">
            <w:pPr>
              <w:rPr>
                <w:rFonts w:ascii="Arial"/>
              </w:rPr>
            </w:pPr>
          </w:p>
        </w:tc>
        <w:tc>
          <w:tcPr>
            <w:tcW w:w="809" w:type="dxa"/>
            <w:vMerge w:val="continue"/>
            <w:tcBorders>
              <w:top w:val="nil"/>
            </w:tcBorders>
          </w:tcPr>
          <w:p w14:paraId="4C981000">
            <w:pPr>
              <w:rPr>
                <w:rFonts w:ascii="Arial"/>
              </w:rPr>
            </w:pPr>
          </w:p>
        </w:tc>
      </w:tr>
      <w:tr w14:paraId="67A944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8" w:hRule="atLeast"/>
        </w:trPr>
        <w:tc>
          <w:tcPr>
            <w:tcW w:w="1713" w:type="dxa"/>
            <w:vMerge w:val="restart"/>
            <w:tcBorders>
              <w:top w:val="nil"/>
            </w:tcBorders>
          </w:tcPr>
          <w:p w14:paraId="425F06A1">
            <w:pPr>
              <w:spacing w:line="463" w:lineRule="auto"/>
              <w:rPr>
                <w:rFonts w:ascii="Arial"/>
              </w:rPr>
            </w:pPr>
          </w:p>
          <w:p w14:paraId="7C44AD7A">
            <w:pPr>
              <w:spacing w:line="228" w:lineRule="auto"/>
              <w:ind w:left="125"/>
              <w:jc w:val="center"/>
              <w:rPr>
                <w:rFonts w:ascii="仿宋" w:hAnsi="仿宋" w:eastAsia="仿宋" w:cs="仿宋"/>
                <w:sz w:val="19"/>
                <w:szCs w:val="19"/>
              </w:rPr>
            </w:pPr>
          </w:p>
        </w:tc>
        <w:tc>
          <w:tcPr>
            <w:tcW w:w="1526" w:type="dxa"/>
            <w:vMerge w:val="restart"/>
          </w:tcPr>
          <w:p w14:paraId="12596DA7">
            <w:pPr>
              <w:spacing w:line="270" w:lineRule="auto"/>
              <w:rPr>
                <w:rFonts w:ascii="Arial"/>
              </w:rPr>
            </w:pPr>
          </w:p>
          <w:p w14:paraId="2B9AD9D2">
            <w:pPr>
              <w:spacing w:line="270" w:lineRule="auto"/>
              <w:rPr>
                <w:rFonts w:ascii="Arial"/>
              </w:rPr>
            </w:pPr>
          </w:p>
          <w:p w14:paraId="61C0288C">
            <w:pPr>
              <w:spacing w:line="270" w:lineRule="auto"/>
              <w:rPr>
                <w:rFonts w:ascii="Arial"/>
              </w:rPr>
            </w:pPr>
          </w:p>
          <w:p w14:paraId="6BBA262F">
            <w:pPr>
              <w:spacing w:line="271" w:lineRule="auto"/>
              <w:rPr>
                <w:rFonts w:ascii="Arial"/>
              </w:rPr>
            </w:pPr>
          </w:p>
          <w:p w14:paraId="3CB7C7D0">
            <w:pPr>
              <w:spacing w:before="78" w:line="228" w:lineRule="auto"/>
              <w:ind w:left="320"/>
              <w:rPr>
                <w:rFonts w:ascii="仿宋" w:hAnsi="仿宋" w:eastAsia="仿宋" w:cs="仿宋"/>
                <w:sz w:val="19"/>
                <w:szCs w:val="19"/>
              </w:rPr>
            </w:pPr>
          </w:p>
        </w:tc>
        <w:tc>
          <w:tcPr>
            <w:tcW w:w="1507" w:type="dxa"/>
            <w:vAlign w:val="center"/>
          </w:tcPr>
          <w:p w14:paraId="78B0DF52">
            <w:pPr>
              <w:spacing w:before="61" w:line="310" w:lineRule="auto"/>
              <w:ind w:left="119" w:right="104" w:hanging="12"/>
              <w:jc w:val="center"/>
              <w:rPr>
                <w:rFonts w:ascii="仿宋" w:hAnsi="仿宋" w:eastAsia="仿宋" w:cs="仿宋"/>
                <w:sz w:val="19"/>
                <w:szCs w:val="19"/>
              </w:rPr>
            </w:pPr>
            <w:r>
              <w:rPr>
                <w:rFonts w:hint="eastAsia" w:ascii="仿宋" w:hAnsi="仿宋" w:eastAsia="仿宋" w:cs="仿宋"/>
                <w:sz w:val="19"/>
                <w:szCs w:val="19"/>
              </w:rPr>
              <w:t>D13行政处罚决定公开率</w:t>
            </w:r>
          </w:p>
        </w:tc>
        <w:tc>
          <w:tcPr>
            <w:tcW w:w="1228" w:type="dxa"/>
            <w:vAlign w:val="center"/>
          </w:tcPr>
          <w:p w14:paraId="18137D7C">
            <w:pPr>
              <w:spacing w:before="62" w:line="228" w:lineRule="auto"/>
              <w:ind w:left="427"/>
              <w:rPr>
                <w:rFonts w:ascii="仿宋" w:hAnsi="仿宋" w:eastAsia="仿宋" w:cs="仿宋"/>
                <w:spacing w:val="2"/>
                <w:sz w:val="19"/>
                <w:szCs w:val="19"/>
              </w:rPr>
            </w:pPr>
            <w:r>
              <w:rPr>
                <w:rFonts w:hint="eastAsia" w:ascii="仿宋" w:hAnsi="仿宋" w:eastAsia="仿宋" w:cs="仿宋"/>
                <w:spacing w:val="2"/>
                <w:sz w:val="19"/>
                <w:szCs w:val="19"/>
              </w:rPr>
              <w:t>100%</w:t>
            </w:r>
          </w:p>
        </w:tc>
        <w:tc>
          <w:tcPr>
            <w:tcW w:w="2563" w:type="dxa"/>
            <w:vAlign w:val="center"/>
          </w:tcPr>
          <w:p w14:paraId="6D5B3A3B">
            <w:pPr>
              <w:spacing w:before="62" w:line="313" w:lineRule="auto"/>
              <w:ind w:left="122" w:right="107" w:hanging="3"/>
              <w:jc w:val="left"/>
              <w:rPr>
                <w:rFonts w:ascii="仿宋" w:hAnsi="仿宋" w:eastAsia="仿宋" w:cs="仿宋"/>
                <w:spacing w:val="22"/>
                <w:sz w:val="19"/>
                <w:szCs w:val="19"/>
              </w:rPr>
            </w:pPr>
            <w:r>
              <w:rPr>
                <w:rFonts w:hint="eastAsia" w:ascii="仿宋" w:hAnsi="仿宋" w:eastAsia="仿宋" w:cs="仿宋"/>
                <w:spacing w:val="6"/>
                <w:sz w:val="19"/>
                <w:szCs w:val="19"/>
              </w:rPr>
              <w:t>考察南京市卫生监督所行政处罚公开完成情况。</w:t>
            </w:r>
          </w:p>
        </w:tc>
        <w:tc>
          <w:tcPr>
            <w:tcW w:w="3808" w:type="dxa"/>
            <w:vAlign w:val="center"/>
          </w:tcPr>
          <w:p w14:paraId="2C8B10B8">
            <w:pPr>
              <w:spacing w:before="78" w:line="278" w:lineRule="auto"/>
              <w:ind w:left="122" w:right="103" w:hanging="10"/>
              <w:jc w:val="left"/>
              <w:rPr>
                <w:rFonts w:ascii="仿宋" w:hAnsi="仿宋" w:eastAsia="仿宋" w:cs="仿宋"/>
                <w:spacing w:val="8"/>
                <w:sz w:val="19"/>
                <w:szCs w:val="19"/>
              </w:rPr>
            </w:pPr>
            <w:r>
              <w:rPr>
                <w:rFonts w:hint="eastAsia" w:ascii="仿宋" w:hAnsi="仿宋" w:eastAsia="仿宋" w:cs="仿宋"/>
                <w:spacing w:val="8"/>
                <w:sz w:val="19"/>
                <w:szCs w:val="19"/>
              </w:rPr>
              <w:t>按要求公开100%符合要求和标准得满分， 每发现一项不合格扣 20%权重分， 扣完为止。</w:t>
            </w:r>
          </w:p>
        </w:tc>
        <w:tc>
          <w:tcPr>
            <w:tcW w:w="801" w:type="dxa"/>
            <w:vAlign w:val="center"/>
          </w:tcPr>
          <w:p w14:paraId="32ECADC5">
            <w:pPr>
              <w:spacing w:before="62" w:line="184" w:lineRule="auto"/>
              <w:ind w:left="361"/>
              <w:rPr>
                <w:rFonts w:ascii="仿宋" w:hAnsi="仿宋" w:eastAsia="仿宋" w:cs="仿宋"/>
                <w:sz w:val="19"/>
                <w:szCs w:val="19"/>
              </w:rPr>
            </w:pPr>
            <w:r>
              <w:rPr>
                <w:rFonts w:hint="eastAsia" w:ascii="仿宋" w:hAnsi="仿宋" w:eastAsia="仿宋" w:cs="仿宋"/>
                <w:sz w:val="19"/>
                <w:szCs w:val="19"/>
              </w:rPr>
              <w:t>1</w:t>
            </w:r>
          </w:p>
        </w:tc>
        <w:tc>
          <w:tcPr>
            <w:tcW w:w="809" w:type="dxa"/>
            <w:vAlign w:val="center"/>
          </w:tcPr>
          <w:p w14:paraId="2F871D9C">
            <w:pPr>
              <w:spacing w:before="62" w:line="184" w:lineRule="auto"/>
              <w:ind w:left="362"/>
              <w:rPr>
                <w:rFonts w:ascii="仿宋" w:hAnsi="仿宋" w:eastAsia="仿宋" w:cs="仿宋"/>
                <w:sz w:val="19"/>
                <w:szCs w:val="19"/>
              </w:rPr>
            </w:pPr>
            <w:r>
              <w:rPr>
                <w:rFonts w:hint="eastAsia" w:ascii="仿宋" w:hAnsi="仿宋" w:eastAsia="仿宋" w:cs="仿宋"/>
                <w:sz w:val="19"/>
                <w:szCs w:val="19"/>
              </w:rPr>
              <w:t>1</w:t>
            </w:r>
          </w:p>
        </w:tc>
      </w:tr>
      <w:tr w14:paraId="64DA69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3" w:hRule="atLeast"/>
        </w:trPr>
        <w:tc>
          <w:tcPr>
            <w:tcW w:w="1713" w:type="dxa"/>
            <w:vMerge w:val="continue"/>
          </w:tcPr>
          <w:p w14:paraId="70A48B88">
            <w:pPr>
              <w:rPr>
                <w:rFonts w:ascii="Arial"/>
              </w:rPr>
            </w:pPr>
          </w:p>
        </w:tc>
        <w:tc>
          <w:tcPr>
            <w:tcW w:w="1526" w:type="dxa"/>
            <w:vMerge w:val="continue"/>
          </w:tcPr>
          <w:p w14:paraId="5CCDB881">
            <w:pPr>
              <w:spacing w:before="78" w:line="228" w:lineRule="auto"/>
              <w:ind w:left="320"/>
              <w:rPr>
                <w:rFonts w:ascii="仿宋" w:hAnsi="仿宋" w:eastAsia="仿宋" w:cs="仿宋"/>
                <w:sz w:val="19"/>
                <w:szCs w:val="19"/>
              </w:rPr>
            </w:pPr>
          </w:p>
        </w:tc>
        <w:tc>
          <w:tcPr>
            <w:tcW w:w="1507" w:type="dxa"/>
          </w:tcPr>
          <w:p w14:paraId="792F71AB">
            <w:pPr>
              <w:spacing w:line="309" w:lineRule="auto"/>
              <w:rPr>
                <w:rFonts w:ascii="Arial"/>
              </w:rPr>
            </w:pPr>
          </w:p>
          <w:p w14:paraId="572CA828">
            <w:pPr>
              <w:spacing w:line="309" w:lineRule="auto"/>
              <w:rPr>
                <w:rFonts w:ascii="Arial"/>
              </w:rPr>
            </w:pPr>
          </w:p>
          <w:p w14:paraId="7D5E82BD">
            <w:pPr>
              <w:spacing w:line="310" w:lineRule="auto"/>
              <w:rPr>
                <w:rFonts w:ascii="Arial"/>
              </w:rPr>
            </w:pPr>
          </w:p>
          <w:p w14:paraId="5243BB3D">
            <w:pPr>
              <w:spacing w:before="61" w:line="310" w:lineRule="auto"/>
              <w:ind w:left="119" w:right="104" w:hanging="12"/>
              <w:jc w:val="left"/>
              <w:rPr>
                <w:rFonts w:ascii="仿宋" w:hAnsi="仿宋" w:eastAsia="仿宋" w:cs="仿宋"/>
                <w:sz w:val="19"/>
                <w:szCs w:val="19"/>
              </w:rPr>
            </w:pPr>
            <w:r>
              <w:rPr>
                <w:rFonts w:ascii="仿宋" w:hAnsi="仿宋" w:eastAsia="仿宋" w:cs="仿宋"/>
                <w:sz w:val="19"/>
                <w:szCs w:val="19"/>
              </w:rPr>
              <w:t>D</w:t>
            </w:r>
            <w:r>
              <w:rPr>
                <w:rFonts w:hint="eastAsia" w:ascii="仿宋" w:hAnsi="仿宋" w:eastAsia="仿宋" w:cs="仿宋"/>
                <w:spacing w:val="7"/>
                <w:sz w:val="19"/>
                <w:szCs w:val="19"/>
              </w:rPr>
              <w:t>14卫生行政普法宣传工作成效</w:t>
            </w:r>
          </w:p>
        </w:tc>
        <w:tc>
          <w:tcPr>
            <w:tcW w:w="1228" w:type="dxa"/>
          </w:tcPr>
          <w:p w14:paraId="4EC7432B">
            <w:pPr>
              <w:spacing w:line="247" w:lineRule="auto"/>
              <w:rPr>
                <w:rFonts w:ascii="Arial"/>
              </w:rPr>
            </w:pPr>
          </w:p>
          <w:p w14:paraId="599B6F1C">
            <w:pPr>
              <w:spacing w:line="247" w:lineRule="auto"/>
              <w:rPr>
                <w:rFonts w:ascii="Arial"/>
              </w:rPr>
            </w:pPr>
          </w:p>
          <w:p w14:paraId="24A3CC85">
            <w:pPr>
              <w:spacing w:line="247" w:lineRule="auto"/>
              <w:rPr>
                <w:rFonts w:ascii="Arial"/>
              </w:rPr>
            </w:pPr>
          </w:p>
          <w:p w14:paraId="6DDEA31A">
            <w:pPr>
              <w:spacing w:line="247" w:lineRule="auto"/>
              <w:rPr>
                <w:rFonts w:ascii="Arial"/>
              </w:rPr>
            </w:pPr>
          </w:p>
          <w:p w14:paraId="05566A55">
            <w:pPr>
              <w:spacing w:line="248" w:lineRule="auto"/>
              <w:rPr>
                <w:rFonts w:ascii="Arial"/>
              </w:rPr>
            </w:pPr>
          </w:p>
          <w:p w14:paraId="7F490F69">
            <w:pPr>
              <w:spacing w:before="62" w:line="228" w:lineRule="auto"/>
              <w:ind w:left="427"/>
              <w:rPr>
                <w:rFonts w:ascii="仿宋" w:hAnsi="仿宋" w:eastAsia="仿宋" w:cs="仿宋"/>
                <w:sz w:val="19"/>
                <w:szCs w:val="19"/>
              </w:rPr>
            </w:pPr>
            <w:r>
              <w:rPr>
                <w:rFonts w:ascii="仿宋" w:hAnsi="仿宋" w:eastAsia="仿宋" w:cs="仿宋"/>
                <w:spacing w:val="2"/>
                <w:sz w:val="19"/>
                <w:szCs w:val="19"/>
              </w:rPr>
              <w:t>完</w:t>
            </w:r>
            <w:r>
              <w:rPr>
                <w:rFonts w:ascii="仿宋" w:hAnsi="仿宋" w:eastAsia="仿宋" w:cs="仿宋"/>
                <w:spacing w:val="1"/>
                <w:sz w:val="19"/>
                <w:szCs w:val="19"/>
              </w:rPr>
              <w:t>善</w:t>
            </w:r>
          </w:p>
        </w:tc>
        <w:tc>
          <w:tcPr>
            <w:tcW w:w="2563" w:type="dxa"/>
          </w:tcPr>
          <w:p w14:paraId="0325653A">
            <w:pPr>
              <w:spacing w:line="270" w:lineRule="auto"/>
              <w:rPr>
                <w:rFonts w:ascii="Arial"/>
              </w:rPr>
            </w:pPr>
          </w:p>
          <w:p w14:paraId="5E3211E5">
            <w:pPr>
              <w:spacing w:line="270" w:lineRule="auto"/>
              <w:rPr>
                <w:rFonts w:ascii="Arial"/>
              </w:rPr>
            </w:pPr>
          </w:p>
          <w:p w14:paraId="07C971E5">
            <w:pPr>
              <w:spacing w:line="271" w:lineRule="auto"/>
              <w:rPr>
                <w:rFonts w:ascii="Arial"/>
              </w:rPr>
            </w:pPr>
          </w:p>
          <w:p w14:paraId="74CB891B">
            <w:pPr>
              <w:spacing w:line="271" w:lineRule="auto"/>
              <w:rPr>
                <w:rFonts w:ascii="Arial"/>
              </w:rPr>
            </w:pPr>
          </w:p>
          <w:p w14:paraId="58BA464D">
            <w:pPr>
              <w:spacing w:before="62" w:line="313" w:lineRule="auto"/>
              <w:ind w:left="122" w:right="107" w:hanging="3"/>
              <w:jc w:val="left"/>
              <w:rPr>
                <w:rFonts w:ascii="仿宋" w:hAnsi="仿宋" w:eastAsia="仿宋" w:cs="仿宋"/>
                <w:sz w:val="19"/>
                <w:szCs w:val="19"/>
              </w:rPr>
            </w:pPr>
            <w:r>
              <w:rPr>
                <w:rFonts w:ascii="仿宋" w:hAnsi="仿宋" w:eastAsia="仿宋" w:cs="仿宋"/>
                <w:spacing w:val="22"/>
                <w:sz w:val="19"/>
                <w:szCs w:val="19"/>
              </w:rPr>
              <w:t>考察</w:t>
            </w:r>
            <w:r>
              <w:rPr>
                <w:rFonts w:hint="eastAsia" w:ascii="仿宋" w:hAnsi="仿宋" w:eastAsia="仿宋" w:cs="仿宋"/>
                <w:spacing w:val="22"/>
                <w:sz w:val="19"/>
                <w:szCs w:val="19"/>
              </w:rPr>
              <w:t>卫生监督行政执法</w:t>
            </w:r>
            <w:r>
              <w:rPr>
                <w:rFonts w:ascii="仿宋" w:hAnsi="仿宋" w:eastAsia="仿宋" w:cs="仿宋"/>
                <w:spacing w:val="22"/>
                <w:sz w:val="19"/>
                <w:szCs w:val="19"/>
              </w:rPr>
              <w:t>宣</w:t>
            </w:r>
            <w:r>
              <w:rPr>
                <w:rFonts w:ascii="仿宋" w:hAnsi="仿宋" w:eastAsia="仿宋" w:cs="仿宋"/>
                <w:spacing w:val="20"/>
                <w:sz w:val="19"/>
                <w:szCs w:val="19"/>
              </w:rPr>
              <w:t>传</w:t>
            </w:r>
            <w:r>
              <w:rPr>
                <w:rFonts w:ascii="仿宋" w:hAnsi="仿宋" w:eastAsia="仿宋" w:cs="仿宋"/>
                <w:spacing w:val="8"/>
                <w:sz w:val="19"/>
                <w:szCs w:val="19"/>
              </w:rPr>
              <w:t>工</w:t>
            </w:r>
            <w:r>
              <w:rPr>
                <w:rFonts w:ascii="仿宋" w:hAnsi="仿宋" w:eastAsia="仿宋" w:cs="仿宋"/>
                <w:spacing w:val="6"/>
                <w:sz w:val="19"/>
                <w:szCs w:val="19"/>
              </w:rPr>
              <w:t>作情况。</w:t>
            </w:r>
          </w:p>
        </w:tc>
        <w:tc>
          <w:tcPr>
            <w:tcW w:w="3808" w:type="dxa"/>
          </w:tcPr>
          <w:p w14:paraId="39613A73">
            <w:pPr>
              <w:spacing w:before="61" w:line="290" w:lineRule="auto"/>
              <w:ind w:left="118" w:right="104" w:hanging="5"/>
              <w:rPr>
                <w:rFonts w:ascii="仿宋" w:hAnsi="仿宋" w:eastAsia="仿宋" w:cs="仿宋"/>
                <w:sz w:val="19"/>
                <w:szCs w:val="19"/>
              </w:rPr>
            </w:pPr>
            <w:r>
              <w:rPr>
                <w:rFonts w:ascii="仿宋" w:hAnsi="仿宋" w:eastAsia="仿宋" w:cs="仿宋"/>
                <w:spacing w:val="9"/>
                <w:sz w:val="19"/>
                <w:szCs w:val="19"/>
              </w:rPr>
              <w:t>利</w:t>
            </w:r>
            <w:r>
              <w:rPr>
                <w:rFonts w:ascii="仿宋" w:hAnsi="仿宋" w:eastAsia="仿宋" w:cs="仿宋"/>
                <w:spacing w:val="7"/>
                <w:sz w:val="19"/>
                <w:szCs w:val="19"/>
              </w:rPr>
              <w:t>用主流媒体和工作部门报刊、网站、</w:t>
            </w:r>
            <w:r>
              <w:rPr>
                <w:rFonts w:ascii="仿宋" w:hAnsi="仿宋" w:eastAsia="仿宋" w:cs="仿宋"/>
                <w:spacing w:val="12"/>
                <w:sz w:val="19"/>
                <w:szCs w:val="19"/>
              </w:rPr>
              <w:t>微信</w:t>
            </w:r>
            <w:r>
              <w:rPr>
                <w:rFonts w:ascii="仿宋" w:hAnsi="仿宋" w:eastAsia="仿宋" w:cs="仿宋"/>
                <w:spacing w:val="6"/>
                <w:sz w:val="19"/>
                <w:szCs w:val="19"/>
              </w:rPr>
              <w:t>公众号等宣传平台，宣传统计工作，</w:t>
            </w:r>
            <w:r>
              <w:rPr>
                <w:rFonts w:ascii="仿宋" w:hAnsi="仿宋" w:eastAsia="仿宋" w:cs="仿宋"/>
                <w:spacing w:val="16"/>
                <w:sz w:val="19"/>
                <w:szCs w:val="19"/>
              </w:rPr>
              <w:t>加</w:t>
            </w:r>
            <w:r>
              <w:rPr>
                <w:rFonts w:ascii="仿宋" w:hAnsi="仿宋" w:eastAsia="仿宋" w:cs="仿宋"/>
                <w:spacing w:val="12"/>
                <w:sz w:val="19"/>
                <w:szCs w:val="19"/>
              </w:rPr>
              <w:t>强</w:t>
            </w:r>
            <w:r>
              <w:rPr>
                <w:rFonts w:ascii="仿宋" w:hAnsi="仿宋" w:eastAsia="仿宋" w:cs="仿宋"/>
                <w:spacing w:val="8"/>
                <w:sz w:val="19"/>
                <w:szCs w:val="19"/>
              </w:rPr>
              <w:t>数据解读，强化舆论指导，不断提高</w:t>
            </w:r>
            <w:r>
              <w:rPr>
                <w:rFonts w:ascii="仿宋" w:hAnsi="仿宋" w:eastAsia="仿宋" w:cs="仿宋"/>
                <w:spacing w:val="6"/>
                <w:sz w:val="19"/>
                <w:szCs w:val="19"/>
              </w:rPr>
              <w:t>社会</w:t>
            </w:r>
            <w:r>
              <w:rPr>
                <w:rFonts w:ascii="仿宋" w:hAnsi="仿宋" w:eastAsia="仿宋" w:cs="仿宋"/>
                <w:spacing w:val="4"/>
                <w:sz w:val="19"/>
                <w:szCs w:val="19"/>
              </w:rPr>
              <w:t>影</w:t>
            </w:r>
            <w:r>
              <w:rPr>
                <w:rFonts w:ascii="仿宋" w:hAnsi="仿宋" w:eastAsia="仿宋" w:cs="仿宋"/>
                <w:spacing w:val="3"/>
                <w:sz w:val="19"/>
                <w:szCs w:val="19"/>
              </w:rPr>
              <w:t>响力， 经省级及以上媒体宣传每增</w:t>
            </w:r>
            <w:r>
              <w:rPr>
                <w:rFonts w:ascii="仿宋" w:hAnsi="仿宋" w:eastAsia="仿宋" w:cs="仿宋"/>
                <w:spacing w:val="-2"/>
                <w:sz w:val="19"/>
                <w:szCs w:val="19"/>
              </w:rPr>
              <w:t xml:space="preserve">加一例得 0.2 </w:t>
            </w:r>
            <w:r>
              <w:rPr>
                <w:rFonts w:ascii="仿宋" w:hAnsi="仿宋" w:eastAsia="仿宋" w:cs="仿宋"/>
                <w:spacing w:val="-1"/>
                <w:sz w:val="19"/>
                <w:szCs w:val="19"/>
              </w:rPr>
              <w:t>分， 经市级媒体宣传每增加</w:t>
            </w:r>
            <w:r>
              <w:rPr>
                <w:rFonts w:ascii="仿宋" w:hAnsi="仿宋" w:eastAsia="仿宋" w:cs="仿宋"/>
                <w:spacing w:val="-20"/>
                <w:sz w:val="19"/>
                <w:szCs w:val="19"/>
              </w:rPr>
              <w:t>一</w:t>
            </w:r>
            <w:r>
              <w:rPr>
                <w:rFonts w:ascii="仿宋" w:hAnsi="仿宋" w:eastAsia="仿宋" w:cs="仿宋"/>
                <w:spacing w:val="-14"/>
                <w:sz w:val="19"/>
                <w:szCs w:val="19"/>
              </w:rPr>
              <w:t>例</w:t>
            </w:r>
            <w:r>
              <w:rPr>
                <w:rFonts w:ascii="仿宋" w:hAnsi="仿宋" w:eastAsia="仿宋" w:cs="仿宋"/>
                <w:spacing w:val="-10"/>
                <w:sz w:val="19"/>
                <w:szCs w:val="19"/>
              </w:rPr>
              <w:t>得 0.1 分， 满分</w:t>
            </w:r>
            <w:r>
              <w:rPr>
                <w:rFonts w:hint="eastAsia" w:ascii="仿宋" w:hAnsi="仿宋" w:eastAsia="仿宋" w:cs="仿宋"/>
                <w:spacing w:val="-10"/>
                <w:sz w:val="19"/>
                <w:szCs w:val="19"/>
              </w:rPr>
              <w:t>1</w:t>
            </w:r>
            <w:r>
              <w:rPr>
                <w:rFonts w:ascii="仿宋" w:hAnsi="仿宋" w:eastAsia="仿宋" w:cs="仿宋"/>
                <w:spacing w:val="-10"/>
                <w:sz w:val="19"/>
                <w:szCs w:val="19"/>
              </w:rPr>
              <w:t>分。</w:t>
            </w:r>
          </w:p>
          <w:p w14:paraId="5E3F8B67">
            <w:pPr>
              <w:spacing w:before="78" w:line="278" w:lineRule="auto"/>
              <w:ind w:left="122" w:right="103" w:hanging="10"/>
              <w:rPr>
                <w:rFonts w:ascii="仿宋" w:hAnsi="仿宋" w:eastAsia="仿宋" w:cs="仿宋"/>
                <w:sz w:val="19"/>
                <w:szCs w:val="19"/>
              </w:rPr>
            </w:pPr>
            <w:r>
              <w:rPr>
                <w:rFonts w:hint="eastAsia" w:ascii="仿宋" w:hAnsi="仿宋" w:eastAsia="仿宋" w:cs="仿宋"/>
                <w:spacing w:val="8"/>
                <w:sz w:val="19"/>
                <w:szCs w:val="19"/>
              </w:rPr>
              <w:t>2.</w:t>
            </w:r>
            <w:r>
              <w:rPr>
                <w:rFonts w:ascii="仿宋" w:hAnsi="仿宋" w:eastAsia="仿宋" w:cs="仿宋"/>
                <w:spacing w:val="8"/>
                <w:sz w:val="19"/>
                <w:szCs w:val="19"/>
              </w:rPr>
              <w:t>12345 平台及时回复咨询信息，每发</w:t>
            </w:r>
            <w:r>
              <w:rPr>
                <w:rFonts w:ascii="仿宋" w:hAnsi="仿宋" w:eastAsia="仿宋" w:cs="仿宋"/>
                <w:spacing w:val="5"/>
                <w:sz w:val="19"/>
                <w:szCs w:val="19"/>
              </w:rPr>
              <w:t>现</w:t>
            </w:r>
            <w:r>
              <w:rPr>
                <w:rFonts w:ascii="仿宋" w:hAnsi="仿宋" w:eastAsia="仿宋" w:cs="仿宋"/>
                <w:spacing w:val="-10"/>
                <w:sz w:val="19"/>
                <w:szCs w:val="19"/>
              </w:rPr>
              <w:t>一</w:t>
            </w:r>
            <w:r>
              <w:rPr>
                <w:rFonts w:ascii="仿宋" w:hAnsi="仿宋" w:eastAsia="仿宋" w:cs="仿宋"/>
                <w:spacing w:val="-9"/>
                <w:sz w:val="19"/>
                <w:szCs w:val="19"/>
              </w:rPr>
              <w:t>例</w:t>
            </w:r>
            <w:r>
              <w:rPr>
                <w:rFonts w:ascii="仿宋" w:hAnsi="仿宋" w:eastAsia="仿宋" w:cs="仿宋"/>
                <w:spacing w:val="-5"/>
                <w:sz w:val="19"/>
                <w:szCs w:val="19"/>
              </w:rPr>
              <w:t xml:space="preserve">未及时回复扣 0.25 分，满分 </w:t>
            </w:r>
            <w:r>
              <w:rPr>
                <w:rFonts w:hint="eastAsia" w:ascii="仿宋" w:hAnsi="仿宋" w:eastAsia="仿宋" w:cs="仿宋"/>
                <w:spacing w:val="-5"/>
                <w:sz w:val="19"/>
                <w:szCs w:val="19"/>
              </w:rPr>
              <w:t>1</w:t>
            </w:r>
            <w:r>
              <w:rPr>
                <w:rFonts w:ascii="仿宋" w:hAnsi="仿宋" w:eastAsia="仿宋" w:cs="仿宋"/>
                <w:spacing w:val="-5"/>
                <w:sz w:val="19"/>
                <w:szCs w:val="19"/>
              </w:rPr>
              <w:t xml:space="preserve"> 分，扣</w:t>
            </w:r>
            <w:r>
              <w:rPr>
                <w:rFonts w:ascii="仿宋" w:hAnsi="仿宋" w:eastAsia="仿宋" w:cs="仿宋"/>
                <w:spacing w:val="-3"/>
                <w:sz w:val="19"/>
                <w:szCs w:val="19"/>
              </w:rPr>
              <w:t>完</w:t>
            </w:r>
            <w:r>
              <w:rPr>
                <w:rFonts w:ascii="仿宋" w:hAnsi="仿宋" w:eastAsia="仿宋" w:cs="仿宋"/>
                <w:spacing w:val="-2"/>
                <w:sz w:val="19"/>
                <w:szCs w:val="19"/>
              </w:rPr>
              <w:t>为止。</w:t>
            </w:r>
          </w:p>
        </w:tc>
        <w:tc>
          <w:tcPr>
            <w:tcW w:w="801" w:type="dxa"/>
          </w:tcPr>
          <w:p w14:paraId="11185F56">
            <w:pPr>
              <w:spacing w:line="254" w:lineRule="auto"/>
              <w:rPr>
                <w:rFonts w:ascii="Arial"/>
              </w:rPr>
            </w:pPr>
          </w:p>
          <w:p w14:paraId="2D8D6056">
            <w:pPr>
              <w:spacing w:line="254" w:lineRule="auto"/>
              <w:rPr>
                <w:rFonts w:ascii="Arial"/>
              </w:rPr>
            </w:pPr>
          </w:p>
          <w:p w14:paraId="068ABA1D">
            <w:pPr>
              <w:spacing w:line="255" w:lineRule="auto"/>
              <w:rPr>
                <w:rFonts w:ascii="Arial"/>
              </w:rPr>
            </w:pPr>
          </w:p>
          <w:p w14:paraId="21DC57E2">
            <w:pPr>
              <w:spacing w:line="255" w:lineRule="auto"/>
              <w:rPr>
                <w:rFonts w:ascii="Arial"/>
              </w:rPr>
            </w:pPr>
          </w:p>
          <w:p w14:paraId="6D9C4553">
            <w:pPr>
              <w:spacing w:line="255" w:lineRule="auto"/>
              <w:rPr>
                <w:rFonts w:ascii="Arial"/>
              </w:rPr>
            </w:pPr>
          </w:p>
          <w:p w14:paraId="574CEBDA">
            <w:pPr>
              <w:spacing w:before="62" w:line="184" w:lineRule="auto"/>
              <w:ind w:left="361"/>
              <w:rPr>
                <w:rFonts w:ascii="仿宋" w:hAnsi="仿宋" w:eastAsia="仿宋" w:cs="仿宋"/>
                <w:sz w:val="19"/>
                <w:szCs w:val="19"/>
              </w:rPr>
            </w:pPr>
            <w:r>
              <w:rPr>
                <w:rFonts w:hint="eastAsia" w:ascii="仿宋" w:hAnsi="仿宋" w:eastAsia="仿宋" w:cs="仿宋"/>
                <w:sz w:val="19"/>
                <w:szCs w:val="19"/>
              </w:rPr>
              <w:t>2</w:t>
            </w:r>
          </w:p>
        </w:tc>
        <w:tc>
          <w:tcPr>
            <w:tcW w:w="809" w:type="dxa"/>
          </w:tcPr>
          <w:p w14:paraId="5E96D8EC">
            <w:pPr>
              <w:spacing w:line="254" w:lineRule="auto"/>
              <w:rPr>
                <w:rFonts w:ascii="Arial"/>
              </w:rPr>
            </w:pPr>
          </w:p>
          <w:p w14:paraId="7D09AA33">
            <w:pPr>
              <w:spacing w:line="254" w:lineRule="auto"/>
              <w:rPr>
                <w:rFonts w:ascii="Arial"/>
              </w:rPr>
            </w:pPr>
          </w:p>
          <w:p w14:paraId="295BBF59">
            <w:pPr>
              <w:spacing w:line="255" w:lineRule="auto"/>
              <w:rPr>
                <w:rFonts w:ascii="Arial"/>
              </w:rPr>
            </w:pPr>
          </w:p>
          <w:p w14:paraId="5C3A158F">
            <w:pPr>
              <w:spacing w:line="255" w:lineRule="auto"/>
              <w:rPr>
                <w:rFonts w:ascii="Arial"/>
              </w:rPr>
            </w:pPr>
          </w:p>
          <w:p w14:paraId="667648E4">
            <w:pPr>
              <w:spacing w:line="255" w:lineRule="auto"/>
              <w:rPr>
                <w:rFonts w:ascii="Arial"/>
              </w:rPr>
            </w:pPr>
          </w:p>
          <w:p w14:paraId="74995162">
            <w:pPr>
              <w:spacing w:before="62" w:line="184" w:lineRule="auto"/>
              <w:ind w:left="362"/>
              <w:rPr>
                <w:rFonts w:ascii="仿宋" w:hAnsi="仿宋" w:eastAsia="仿宋" w:cs="仿宋"/>
                <w:sz w:val="19"/>
                <w:szCs w:val="19"/>
              </w:rPr>
            </w:pPr>
            <w:r>
              <w:rPr>
                <w:rFonts w:hint="eastAsia" w:ascii="仿宋" w:hAnsi="仿宋" w:eastAsia="仿宋" w:cs="仿宋"/>
                <w:sz w:val="19"/>
                <w:szCs w:val="19"/>
              </w:rPr>
              <w:t>2</w:t>
            </w:r>
          </w:p>
        </w:tc>
      </w:tr>
      <w:tr w14:paraId="62BB56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1" w:hRule="atLeast"/>
        </w:trPr>
        <w:tc>
          <w:tcPr>
            <w:tcW w:w="1713" w:type="dxa"/>
            <w:vMerge w:val="continue"/>
            <w:vAlign w:val="center"/>
          </w:tcPr>
          <w:p w14:paraId="1C0C182A">
            <w:pPr>
              <w:spacing w:line="228" w:lineRule="auto"/>
              <w:ind w:left="125"/>
              <w:jc w:val="center"/>
              <w:rPr>
                <w:rFonts w:ascii="仿宋" w:hAnsi="仿宋" w:eastAsia="仿宋" w:cs="仿宋"/>
                <w:sz w:val="19"/>
                <w:szCs w:val="19"/>
              </w:rPr>
            </w:pPr>
          </w:p>
        </w:tc>
        <w:tc>
          <w:tcPr>
            <w:tcW w:w="1526" w:type="dxa"/>
            <w:vMerge w:val="restart"/>
            <w:vAlign w:val="center"/>
          </w:tcPr>
          <w:p w14:paraId="764D022D">
            <w:pPr>
              <w:spacing w:line="463" w:lineRule="auto"/>
              <w:jc w:val="center"/>
              <w:rPr>
                <w:rFonts w:ascii="Arial"/>
              </w:rPr>
            </w:pPr>
          </w:p>
          <w:p w14:paraId="5A606CB6">
            <w:pPr>
              <w:spacing w:before="61" w:line="303" w:lineRule="auto"/>
              <w:ind w:left="121" w:right="107" w:hanging="13"/>
              <w:jc w:val="center"/>
              <w:rPr>
                <w:rFonts w:ascii="仿宋" w:hAnsi="仿宋" w:eastAsia="仿宋" w:cs="仿宋"/>
                <w:sz w:val="19"/>
                <w:szCs w:val="19"/>
              </w:rPr>
            </w:pPr>
            <w:r>
              <w:rPr>
                <w:rFonts w:hint="eastAsia" w:ascii="仿宋" w:hAnsi="仿宋" w:eastAsia="仿宋" w:cs="仿宋"/>
                <w:sz w:val="19"/>
                <w:szCs w:val="19"/>
              </w:rPr>
              <w:t>D2</w:t>
            </w:r>
            <w:r>
              <w:rPr>
                <w:rFonts w:hint="eastAsia" w:ascii="仿宋" w:hAnsi="仿宋" w:eastAsia="仿宋" w:cs="仿宋"/>
                <w:spacing w:val="10"/>
                <w:sz w:val="19"/>
                <w:szCs w:val="19"/>
              </w:rPr>
              <w:t>可持续影响</w:t>
            </w:r>
          </w:p>
          <w:p w14:paraId="1DBF3496">
            <w:pPr>
              <w:spacing w:line="228" w:lineRule="auto"/>
              <w:ind w:left="121"/>
              <w:jc w:val="center"/>
              <w:rPr>
                <w:rFonts w:ascii="仿宋" w:hAnsi="仿宋" w:eastAsia="仿宋" w:cs="仿宋"/>
                <w:spacing w:val="10"/>
                <w:sz w:val="19"/>
                <w:szCs w:val="19"/>
              </w:rPr>
            </w:pPr>
            <w:r>
              <w:rPr>
                <w:rFonts w:ascii="仿宋" w:hAnsi="仿宋" w:eastAsia="仿宋" w:cs="仿宋"/>
                <w:spacing w:val="10"/>
                <w:sz w:val="19"/>
                <w:szCs w:val="19"/>
              </w:rPr>
              <w:t>(</w:t>
            </w:r>
            <w:r>
              <w:rPr>
                <w:rFonts w:hint="eastAsia" w:ascii="仿宋" w:hAnsi="仿宋" w:eastAsia="仿宋" w:cs="仿宋"/>
                <w:spacing w:val="10"/>
                <w:sz w:val="19"/>
                <w:szCs w:val="19"/>
              </w:rPr>
              <w:t>7</w:t>
            </w:r>
            <w:r>
              <w:rPr>
                <w:rFonts w:ascii="仿宋" w:hAnsi="仿宋" w:eastAsia="仿宋" w:cs="仿宋"/>
                <w:spacing w:val="10"/>
                <w:sz w:val="19"/>
                <w:szCs w:val="19"/>
              </w:rPr>
              <w:t xml:space="preserve"> 分</w:t>
            </w:r>
            <w:r>
              <w:rPr>
                <w:rFonts w:ascii="仿宋" w:hAnsi="仿宋" w:eastAsia="仿宋" w:cs="仿宋"/>
                <w:spacing w:val="9"/>
                <w:sz w:val="19"/>
                <w:szCs w:val="19"/>
              </w:rPr>
              <w:t>)</w:t>
            </w:r>
          </w:p>
        </w:tc>
        <w:tc>
          <w:tcPr>
            <w:tcW w:w="1507" w:type="dxa"/>
          </w:tcPr>
          <w:p w14:paraId="4C224503">
            <w:pPr>
              <w:spacing w:before="62" w:line="314" w:lineRule="auto"/>
              <w:ind w:right="104" w:firstLine="190" w:firstLineChars="100"/>
              <w:rPr>
                <w:rFonts w:ascii="仿宋" w:hAnsi="仿宋" w:eastAsia="仿宋" w:cs="仿宋"/>
                <w:sz w:val="19"/>
                <w:szCs w:val="19"/>
              </w:rPr>
            </w:pPr>
            <w:r>
              <w:rPr>
                <w:rFonts w:hint="eastAsia" w:ascii="仿宋" w:hAnsi="仿宋" w:eastAsia="仿宋" w:cs="仿宋"/>
                <w:sz w:val="19"/>
                <w:szCs w:val="19"/>
              </w:rPr>
              <w:t>D</w:t>
            </w:r>
            <w:r>
              <w:rPr>
                <w:rFonts w:hint="eastAsia" w:ascii="仿宋" w:hAnsi="仿宋" w:eastAsia="仿宋" w:cs="仿宋"/>
                <w:spacing w:val="11"/>
                <w:sz w:val="19"/>
                <w:szCs w:val="19"/>
              </w:rPr>
              <w:t>2</w:t>
            </w:r>
            <w:r>
              <w:rPr>
                <w:rFonts w:ascii="仿宋" w:hAnsi="仿宋" w:eastAsia="仿宋" w:cs="仿宋"/>
                <w:spacing w:val="6"/>
                <w:sz w:val="19"/>
                <w:szCs w:val="19"/>
              </w:rPr>
              <w:t xml:space="preserve">1 </w:t>
            </w:r>
            <w:r>
              <w:rPr>
                <w:rFonts w:hint="eastAsia" w:ascii="仿宋" w:hAnsi="仿宋" w:eastAsia="仿宋" w:cs="仿宋"/>
                <w:spacing w:val="6"/>
                <w:sz w:val="19"/>
                <w:szCs w:val="19"/>
              </w:rPr>
              <w:t>规范执法行为和提高执法效率的持续影响程度</w:t>
            </w:r>
          </w:p>
        </w:tc>
        <w:tc>
          <w:tcPr>
            <w:tcW w:w="1228" w:type="dxa"/>
          </w:tcPr>
          <w:p w14:paraId="4EF2BB27">
            <w:pPr>
              <w:spacing w:line="257" w:lineRule="auto"/>
              <w:rPr>
                <w:rFonts w:ascii="Arial"/>
              </w:rPr>
            </w:pPr>
          </w:p>
          <w:p w14:paraId="572039E1">
            <w:pPr>
              <w:spacing w:line="258" w:lineRule="auto"/>
              <w:rPr>
                <w:rFonts w:ascii="Arial"/>
              </w:rPr>
            </w:pPr>
          </w:p>
          <w:p w14:paraId="59F0A3A5">
            <w:pPr>
              <w:spacing w:before="62" w:line="228" w:lineRule="auto"/>
              <w:ind w:left="452"/>
              <w:rPr>
                <w:rFonts w:ascii="仿宋" w:hAnsi="仿宋" w:eastAsia="仿宋" w:cs="仿宋"/>
                <w:sz w:val="19"/>
                <w:szCs w:val="19"/>
              </w:rPr>
            </w:pPr>
            <w:r>
              <w:rPr>
                <w:rFonts w:hint="eastAsia" w:ascii="仿宋" w:hAnsi="仿宋" w:eastAsia="仿宋" w:cs="仿宋"/>
                <w:sz w:val="19"/>
                <w:szCs w:val="19"/>
              </w:rPr>
              <w:t>优秀</w:t>
            </w:r>
          </w:p>
        </w:tc>
        <w:tc>
          <w:tcPr>
            <w:tcW w:w="2563" w:type="dxa"/>
          </w:tcPr>
          <w:p w14:paraId="7F6A0C20">
            <w:pPr>
              <w:spacing w:before="62" w:line="314" w:lineRule="auto"/>
              <w:ind w:right="107" w:firstLine="190" w:firstLineChars="100"/>
              <w:rPr>
                <w:rFonts w:ascii="仿宋" w:hAnsi="仿宋" w:eastAsia="仿宋" w:cs="仿宋"/>
                <w:sz w:val="19"/>
                <w:szCs w:val="19"/>
              </w:rPr>
            </w:pPr>
            <w:r>
              <w:rPr>
                <w:rFonts w:hint="eastAsia" w:ascii="仿宋" w:hAnsi="仿宋" w:eastAsia="仿宋" w:cs="仿宋"/>
                <w:sz w:val="19"/>
                <w:szCs w:val="19"/>
              </w:rPr>
              <w:t>考察南京市卫生监督所对规范执法行为和提高执法效率的规章制度和落实考察情况。</w:t>
            </w:r>
          </w:p>
        </w:tc>
        <w:tc>
          <w:tcPr>
            <w:tcW w:w="3808" w:type="dxa"/>
          </w:tcPr>
          <w:p w14:paraId="17FC10C3">
            <w:pPr>
              <w:spacing w:before="56" w:line="291" w:lineRule="auto"/>
              <w:ind w:left="112" w:right="104"/>
              <w:rPr>
                <w:rFonts w:ascii="仿宋" w:hAnsi="仿宋" w:eastAsia="仿宋" w:cs="仿宋"/>
                <w:spacing w:val="9"/>
                <w:sz w:val="19"/>
                <w:szCs w:val="19"/>
              </w:rPr>
            </w:pPr>
            <w:r>
              <w:rPr>
                <w:rFonts w:hint="eastAsia" w:ascii="仿宋" w:hAnsi="仿宋" w:eastAsia="仿宋" w:cs="仿宋"/>
                <w:spacing w:val="9"/>
                <w:sz w:val="19"/>
                <w:szCs w:val="19"/>
              </w:rPr>
              <w:t>1.执行相关执法规范制度，1分。</w:t>
            </w:r>
          </w:p>
          <w:p w14:paraId="4D776FF8">
            <w:pPr>
              <w:spacing w:before="56" w:line="291" w:lineRule="auto"/>
              <w:ind w:left="112" w:right="104"/>
              <w:rPr>
                <w:rFonts w:ascii="仿宋" w:hAnsi="仿宋" w:eastAsia="仿宋" w:cs="仿宋"/>
                <w:sz w:val="19"/>
                <w:szCs w:val="19"/>
              </w:rPr>
            </w:pPr>
            <w:r>
              <w:rPr>
                <w:rFonts w:hint="eastAsia" w:ascii="仿宋" w:hAnsi="仿宋" w:eastAsia="仿宋" w:cs="仿宋"/>
                <w:spacing w:val="9"/>
                <w:sz w:val="19"/>
                <w:szCs w:val="19"/>
              </w:rPr>
              <w:t>2.对执法规范行为和执法效率进行考核，得1分，否则不得分。</w:t>
            </w:r>
          </w:p>
        </w:tc>
        <w:tc>
          <w:tcPr>
            <w:tcW w:w="801" w:type="dxa"/>
          </w:tcPr>
          <w:p w14:paraId="3FC99FEF">
            <w:pPr>
              <w:spacing w:line="270" w:lineRule="auto"/>
              <w:rPr>
                <w:rFonts w:ascii="Arial"/>
              </w:rPr>
            </w:pPr>
          </w:p>
          <w:p w14:paraId="43487277">
            <w:pPr>
              <w:spacing w:line="270" w:lineRule="auto"/>
              <w:rPr>
                <w:rFonts w:ascii="Arial"/>
              </w:rPr>
            </w:pPr>
          </w:p>
          <w:p w14:paraId="574B1551">
            <w:pPr>
              <w:spacing w:before="62" w:line="184" w:lineRule="auto"/>
              <w:ind w:left="359"/>
              <w:rPr>
                <w:rFonts w:ascii="仿宋" w:hAnsi="仿宋" w:eastAsia="仿宋" w:cs="仿宋"/>
                <w:sz w:val="19"/>
                <w:szCs w:val="19"/>
              </w:rPr>
            </w:pPr>
            <w:r>
              <w:rPr>
                <w:rFonts w:hint="eastAsia" w:ascii="仿宋" w:hAnsi="仿宋" w:eastAsia="仿宋" w:cs="仿宋"/>
                <w:sz w:val="19"/>
                <w:szCs w:val="19"/>
              </w:rPr>
              <w:t>2</w:t>
            </w:r>
          </w:p>
        </w:tc>
        <w:tc>
          <w:tcPr>
            <w:tcW w:w="809" w:type="dxa"/>
          </w:tcPr>
          <w:p w14:paraId="4547709F">
            <w:pPr>
              <w:spacing w:line="269" w:lineRule="auto"/>
              <w:rPr>
                <w:rFonts w:ascii="Arial"/>
              </w:rPr>
            </w:pPr>
          </w:p>
          <w:p w14:paraId="62B484DB">
            <w:pPr>
              <w:spacing w:line="270" w:lineRule="auto"/>
              <w:rPr>
                <w:rFonts w:ascii="Arial"/>
              </w:rPr>
            </w:pPr>
          </w:p>
          <w:p w14:paraId="334A9D15">
            <w:pPr>
              <w:spacing w:before="62" w:line="184" w:lineRule="auto"/>
              <w:ind w:left="360"/>
              <w:rPr>
                <w:rFonts w:ascii="仿宋" w:hAnsi="仿宋" w:eastAsia="仿宋" w:cs="仿宋"/>
                <w:sz w:val="19"/>
                <w:szCs w:val="19"/>
              </w:rPr>
            </w:pPr>
            <w:r>
              <w:rPr>
                <w:rFonts w:hint="eastAsia" w:ascii="仿宋" w:hAnsi="仿宋" w:eastAsia="仿宋" w:cs="仿宋"/>
                <w:sz w:val="19"/>
                <w:szCs w:val="19"/>
              </w:rPr>
              <w:t>2</w:t>
            </w:r>
          </w:p>
        </w:tc>
      </w:tr>
      <w:tr w14:paraId="3DC4ED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2" w:hRule="atLeast"/>
        </w:trPr>
        <w:tc>
          <w:tcPr>
            <w:tcW w:w="1713" w:type="dxa"/>
            <w:vMerge w:val="continue"/>
            <w:vAlign w:val="center"/>
          </w:tcPr>
          <w:p w14:paraId="425E74B9">
            <w:pPr>
              <w:spacing w:line="228" w:lineRule="auto"/>
              <w:ind w:left="125"/>
              <w:jc w:val="center"/>
              <w:rPr>
                <w:rFonts w:ascii="仿宋" w:hAnsi="仿宋" w:eastAsia="仿宋" w:cs="仿宋"/>
                <w:spacing w:val="-6"/>
                <w:sz w:val="19"/>
                <w:szCs w:val="19"/>
              </w:rPr>
            </w:pPr>
          </w:p>
        </w:tc>
        <w:tc>
          <w:tcPr>
            <w:tcW w:w="1526" w:type="dxa"/>
            <w:vMerge w:val="continue"/>
          </w:tcPr>
          <w:p w14:paraId="0EE126FA">
            <w:pPr>
              <w:spacing w:line="228" w:lineRule="auto"/>
              <w:ind w:left="121"/>
              <w:jc w:val="center"/>
              <w:rPr>
                <w:rFonts w:ascii="仿宋" w:hAnsi="仿宋" w:eastAsia="仿宋" w:cs="仿宋"/>
                <w:spacing w:val="10"/>
                <w:sz w:val="19"/>
                <w:szCs w:val="19"/>
              </w:rPr>
            </w:pPr>
          </w:p>
        </w:tc>
        <w:tc>
          <w:tcPr>
            <w:tcW w:w="1507" w:type="dxa"/>
            <w:vAlign w:val="center"/>
          </w:tcPr>
          <w:p w14:paraId="6BD1DDD8">
            <w:pPr>
              <w:spacing w:before="62" w:line="314" w:lineRule="auto"/>
              <w:ind w:right="104" w:firstLine="190" w:firstLineChars="100"/>
              <w:rPr>
                <w:rFonts w:ascii="仿宋" w:hAnsi="仿宋" w:eastAsia="仿宋" w:cs="仿宋"/>
                <w:sz w:val="19"/>
                <w:szCs w:val="19"/>
              </w:rPr>
            </w:pPr>
            <w:r>
              <w:rPr>
                <w:rFonts w:hint="eastAsia" w:ascii="仿宋" w:hAnsi="仿宋" w:eastAsia="仿宋" w:cs="仿宋"/>
                <w:sz w:val="19"/>
                <w:szCs w:val="19"/>
              </w:rPr>
              <w:t>D22 对单位履职促进事业发展的持续影响程度</w:t>
            </w:r>
          </w:p>
        </w:tc>
        <w:tc>
          <w:tcPr>
            <w:tcW w:w="1228" w:type="dxa"/>
            <w:vAlign w:val="center"/>
          </w:tcPr>
          <w:p w14:paraId="1F718856">
            <w:pPr>
              <w:spacing w:before="62" w:line="228" w:lineRule="auto"/>
              <w:ind w:left="452"/>
              <w:rPr>
                <w:rFonts w:ascii="仿宋" w:hAnsi="仿宋" w:eastAsia="仿宋" w:cs="仿宋"/>
                <w:spacing w:val="-7"/>
                <w:sz w:val="19"/>
                <w:szCs w:val="19"/>
              </w:rPr>
            </w:pPr>
            <w:r>
              <w:rPr>
                <w:rFonts w:hint="eastAsia" w:ascii="仿宋" w:hAnsi="仿宋" w:eastAsia="仿宋" w:cs="仿宋"/>
                <w:sz w:val="19"/>
                <w:szCs w:val="19"/>
              </w:rPr>
              <w:t>优秀</w:t>
            </w:r>
          </w:p>
        </w:tc>
        <w:tc>
          <w:tcPr>
            <w:tcW w:w="2563" w:type="dxa"/>
            <w:vAlign w:val="center"/>
          </w:tcPr>
          <w:p w14:paraId="0FC2CDF5">
            <w:pPr>
              <w:spacing w:before="62" w:line="314" w:lineRule="auto"/>
              <w:ind w:left="118" w:right="107" w:firstLine="1"/>
              <w:rPr>
                <w:rFonts w:ascii="仿宋" w:hAnsi="仿宋" w:eastAsia="仿宋" w:cs="仿宋"/>
                <w:sz w:val="19"/>
                <w:szCs w:val="19"/>
              </w:rPr>
            </w:pPr>
            <w:r>
              <w:rPr>
                <w:rFonts w:hint="eastAsia" w:ascii="仿宋" w:hAnsi="仿宋" w:eastAsia="仿宋" w:cs="仿宋"/>
                <w:sz w:val="19"/>
                <w:szCs w:val="19"/>
              </w:rPr>
              <w:t>考察南京市卫生监督所对事业发展持续性的规划情况。</w:t>
            </w:r>
          </w:p>
        </w:tc>
        <w:tc>
          <w:tcPr>
            <w:tcW w:w="3808" w:type="dxa"/>
            <w:vAlign w:val="center"/>
          </w:tcPr>
          <w:p w14:paraId="5ED839F3">
            <w:pPr>
              <w:spacing w:before="56" w:line="291" w:lineRule="auto"/>
              <w:ind w:left="112" w:right="104"/>
              <w:rPr>
                <w:rFonts w:ascii="仿宋" w:hAnsi="仿宋" w:eastAsia="仿宋" w:cs="仿宋"/>
                <w:sz w:val="19"/>
                <w:szCs w:val="19"/>
              </w:rPr>
            </w:pPr>
            <w:r>
              <w:rPr>
                <w:rFonts w:hint="eastAsia" w:ascii="仿宋" w:hAnsi="仿宋" w:eastAsia="仿宋" w:cs="仿宋"/>
                <w:sz w:val="19"/>
                <w:szCs w:val="19"/>
              </w:rPr>
              <w:t>事业发展中长期规划均符合南京市卫生监督所发展。酌情打分。</w:t>
            </w:r>
          </w:p>
        </w:tc>
        <w:tc>
          <w:tcPr>
            <w:tcW w:w="801" w:type="dxa"/>
            <w:vAlign w:val="center"/>
          </w:tcPr>
          <w:p w14:paraId="36EC2847">
            <w:pPr>
              <w:spacing w:before="62" w:line="184" w:lineRule="auto"/>
              <w:ind w:left="359"/>
              <w:rPr>
                <w:rFonts w:ascii="仿宋" w:hAnsi="仿宋" w:eastAsia="仿宋" w:cs="仿宋"/>
                <w:sz w:val="19"/>
                <w:szCs w:val="19"/>
              </w:rPr>
            </w:pPr>
            <w:r>
              <w:rPr>
                <w:rFonts w:hint="eastAsia" w:ascii="仿宋" w:hAnsi="仿宋" w:eastAsia="仿宋" w:cs="仿宋"/>
                <w:sz w:val="19"/>
                <w:szCs w:val="19"/>
              </w:rPr>
              <w:t>2</w:t>
            </w:r>
          </w:p>
        </w:tc>
        <w:tc>
          <w:tcPr>
            <w:tcW w:w="809" w:type="dxa"/>
            <w:vAlign w:val="center"/>
          </w:tcPr>
          <w:p w14:paraId="2D0BEAFA">
            <w:pPr>
              <w:spacing w:before="62" w:line="184" w:lineRule="auto"/>
              <w:ind w:left="360"/>
              <w:rPr>
                <w:rFonts w:ascii="仿宋" w:hAnsi="仿宋" w:eastAsia="仿宋" w:cs="仿宋"/>
                <w:sz w:val="19"/>
                <w:szCs w:val="19"/>
              </w:rPr>
            </w:pPr>
            <w:r>
              <w:rPr>
                <w:rFonts w:hint="eastAsia" w:ascii="仿宋" w:hAnsi="仿宋" w:eastAsia="仿宋" w:cs="仿宋"/>
                <w:sz w:val="19"/>
                <w:szCs w:val="19"/>
              </w:rPr>
              <w:t>2</w:t>
            </w:r>
          </w:p>
        </w:tc>
      </w:tr>
      <w:tr w14:paraId="202BFC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2" w:hRule="atLeast"/>
        </w:trPr>
        <w:tc>
          <w:tcPr>
            <w:tcW w:w="1713" w:type="dxa"/>
            <w:vMerge w:val="continue"/>
          </w:tcPr>
          <w:p w14:paraId="195621D6">
            <w:pPr>
              <w:spacing w:line="228" w:lineRule="auto"/>
              <w:ind w:left="125"/>
              <w:rPr>
                <w:rFonts w:ascii="仿宋" w:hAnsi="仿宋" w:eastAsia="仿宋" w:cs="仿宋"/>
                <w:spacing w:val="-6"/>
                <w:sz w:val="19"/>
                <w:szCs w:val="19"/>
              </w:rPr>
            </w:pPr>
          </w:p>
        </w:tc>
        <w:tc>
          <w:tcPr>
            <w:tcW w:w="1526" w:type="dxa"/>
            <w:vMerge w:val="continue"/>
          </w:tcPr>
          <w:p w14:paraId="68F98127">
            <w:pPr>
              <w:spacing w:line="228" w:lineRule="auto"/>
              <w:ind w:left="121"/>
              <w:jc w:val="center"/>
              <w:rPr>
                <w:rFonts w:ascii="仿宋" w:hAnsi="仿宋" w:eastAsia="仿宋" w:cs="仿宋"/>
                <w:spacing w:val="10"/>
                <w:sz w:val="19"/>
                <w:szCs w:val="19"/>
              </w:rPr>
            </w:pPr>
          </w:p>
        </w:tc>
        <w:tc>
          <w:tcPr>
            <w:tcW w:w="1507" w:type="dxa"/>
            <w:vAlign w:val="center"/>
          </w:tcPr>
          <w:p w14:paraId="1B19F688">
            <w:pPr>
              <w:spacing w:before="62" w:line="315" w:lineRule="auto"/>
              <w:ind w:right="104" w:firstLine="190" w:firstLineChars="100"/>
              <w:rPr>
                <w:rFonts w:ascii="仿宋" w:hAnsi="仿宋" w:eastAsia="仿宋" w:cs="仿宋"/>
                <w:sz w:val="19"/>
                <w:szCs w:val="19"/>
              </w:rPr>
            </w:pPr>
            <w:r>
              <w:rPr>
                <w:rFonts w:hint="eastAsia" w:ascii="仿宋" w:hAnsi="仿宋" w:eastAsia="仿宋" w:cs="仿宋"/>
                <w:sz w:val="19"/>
                <w:szCs w:val="19"/>
              </w:rPr>
              <w:t>D23 信息化平台建设</w:t>
            </w:r>
          </w:p>
        </w:tc>
        <w:tc>
          <w:tcPr>
            <w:tcW w:w="1228" w:type="dxa"/>
            <w:vAlign w:val="center"/>
          </w:tcPr>
          <w:p w14:paraId="1782121C">
            <w:pPr>
              <w:spacing w:before="62" w:line="228" w:lineRule="auto"/>
              <w:jc w:val="center"/>
              <w:rPr>
                <w:rFonts w:ascii="仿宋" w:hAnsi="仿宋" w:eastAsia="仿宋" w:cs="仿宋"/>
                <w:sz w:val="19"/>
                <w:szCs w:val="19"/>
              </w:rPr>
            </w:pPr>
            <w:r>
              <w:rPr>
                <w:rFonts w:hint="eastAsia" w:ascii="仿宋" w:hAnsi="仿宋" w:eastAsia="仿宋" w:cs="仿宋"/>
                <w:sz w:val="19"/>
                <w:szCs w:val="19"/>
              </w:rPr>
              <w:t>健全</w:t>
            </w:r>
          </w:p>
        </w:tc>
        <w:tc>
          <w:tcPr>
            <w:tcW w:w="2563" w:type="dxa"/>
            <w:vAlign w:val="center"/>
          </w:tcPr>
          <w:p w14:paraId="072C72AC">
            <w:pPr>
              <w:spacing w:before="61" w:line="314" w:lineRule="auto"/>
              <w:ind w:right="83" w:firstLine="206" w:firstLineChars="100"/>
              <w:jc w:val="left"/>
              <w:rPr>
                <w:rFonts w:ascii="仿宋" w:hAnsi="仿宋" w:eastAsia="仿宋" w:cs="仿宋"/>
                <w:sz w:val="19"/>
                <w:szCs w:val="19"/>
              </w:rPr>
            </w:pPr>
            <w:r>
              <w:rPr>
                <w:rFonts w:ascii="仿宋" w:hAnsi="仿宋" w:eastAsia="仿宋" w:cs="仿宋"/>
                <w:spacing w:val="8"/>
                <w:sz w:val="19"/>
                <w:szCs w:val="19"/>
              </w:rPr>
              <w:t>考</w:t>
            </w:r>
            <w:r>
              <w:rPr>
                <w:rFonts w:ascii="仿宋" w:hAnsi="仿宋" w:eastAsia="仿宋" w:cs="仿宋"/>
                <w:spacing w:val="4"/>
                <w:sz w:val="19"/>
                <w:szCs w:val="19"/>
              </w:rPr>
              <w:t>察</w:t>
            </w:r>
            <w:r>
              <w:rPr>
                <w:rFonts w:hint="eastAsia" w:ascii="仿宋" w:hAnsi="仿宋" w:eastAsia="仿宋" w:cs="仿宋"/>
                <w:spacing w:val="4"/>
                <w:sz w:val="19"/>
                <w:szCs w:val="19"/>
              </w:rPr>
              <w:t>南京市卫生监督所</w:t>
            </w:r>
            <w:r>
              <w:rPr>
                <w:rFonts w:ascii="仿宋" w:hAnsi="仿宋" w:eastAsia="仿宋" w:cs="仿宋"/>
                <w:spacing w:val="5"/>
                <w:sz w:val="19"/>
                <w:szCs w:val="19"/>
              </w:rPr>
              <w:t>信息化建设状况。</w:t>
            </w:r>
          </w:p>
        </w:tc>
        <w:tc>
          <w:tcPr>
            <w:tcW w:w="3808" w:type="dxa"/>
            <w:vAlign w:val="center"/>
          </w:tcPr>
          <w:p w14:paraId="12D634A4">
            <w:pPr>
              <w:spacing w:before="50" w:line="296" w:lineRule="auto"/>
              <w:ind w:right="101"/>
              <w:jc w:val="left"/>
              <w:rPr>
                <w:rFonts w:ascii="仿宋" w:hAnsi="仿宋" w:eastAsia="仿宋" w:cs="仿宋"/>
                <w:sz w:val="19"/>
                <w:szCs w:val="19"/>
              </w:rPr>
            </w:pPr>
            <w:r>
              <w:rPr>
                <w:rFonts w:hint="eastAsia" w:ascii="仿宋" w:hAnsi="仿宋" w:eastAsia="仿宋" w:cs="仿宋"/>
                <w:sz w:val="19"/>
                <w:szCs w:val="19"/>
              </w:rPr>
              <w:t xml:space="preserve">1.办公流程、内控业务开展均能通过单位的信息系统得1分。                                           2.定期开展网络安全巡检监测工作和重要信息系统等级保护测评工作得 1 分。  </w:t>
            </w:r>
          </w:p>
        </w:tc>
        <w:tc>
          <w:tcPr>
            <w:tcW w:w="801" w:type="dxa"/>
            <w:vAlign w:val="center"/>
          </w:tcPr>
          <w:p w14:paraId="4E078F88">
            <w:pPr>
              <w:spacing w:before="62" w:line="184" w:lineRule="auto"/>
              <w:ind w:firstLine="380" w:firstLineChars="200"/>
              <w:rPr>
                <w:rFonts w:ascii="仿宋" w:hAnsi="仿宋" w:eastAsia="仿宋" w:cs="仿宋"/>
                <w:sz w:val="19"/>
                <w:szCs w:val="19"/>
              </w:rPr>
            </w:pPr>
            <w:r>
              <w:rPr>
                <w:rFonts w:hint="eastAsia" w:ascii="仿宋" w:hAnsi="仿宋" w:eastAsia="仿宋" w:cs="仿宋"/>
                <w:sz w:val="19"/>
                <w:szCs w:val="19"/>
              </w:rPr>
              <w:t>2</w:t>
            </w:r>
          </w:p>
        </w:tc>
        <w:tc>
          <w:tcPr>
            <w:tcW w:w="809" w:type="dxa"/>
            <w:vAlign w:val="center"/>
          </w:tcPr>
          <w:p w14:paraId="27B5D2EA">
            <w:pPr>
              <w:spacing w:before="62" w:line="184" w:lineRule="auto"/>
              <w:ind w:firstLine="380" w:firstLineChars="200"/>
              <w:rPr>
                <w:rFonts w:ascii="仿宋" w:hAnsi="仿宋" w:eastAsia="仿宋" w:cs="仿宋"/>
                <w:sz w:val="19"/>
                <w:szCs w:val="19"/>
              </w:rPr>
            </w:pPr>
            <w:r>
              <w:rPr>
                <w:rFonts w:hint="eastAsia" w:ascii="仿宋" w:hAnsi="仿宋" w:eastAsia="仿宋" w:cs="仿宋"/>
                <w:sz w:val="19"/>
                <w:szCs w:val="19"/>
              </w:rPr>
              <w:t>1.8</w:t>
            </w:r>
          </w:p>
        </w:tc>
      </w:tr>
      <w:tr w14:paraId="6CC7B2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2" w:hRule="atLeast"/>
        </w:trPr>
        <w:tc>
          <w:tcPr>
            <w:tcW w:w="1713" w:type="dxa"/>
            <w:vMerge w:val="continue"/>
          </w:tcPr>
          <w:p w14:paraId="4D12A02E">
            <w:pPr>
              <w:spacing w:line="228" w:lineRule="auto"/>
              <w:ind w:left="125"/>
              <w:rPr>
                <w:rFonts w:ascii="仿宋" w:hAnsi="仿宋" w:eastAsia="仿宋" w:cs="仿宋"/>
                <w:spacing w:val="-6"/>
                <w:sz w:val="19"/>
                <w:szCs w:val="19"/>
              </w:rPr>
            </w:pPr>
          </w:p>
        </w:tc>
        <w:tc>
          <w:tcPr>
            <w:tcW w:w="1526" w:type="dxa"/>
            <w:vMerge w:val="continue"/>
          </w:tcPr>
          <w:p w14:paraId="5B34DBD5">
            <w:pPr>
              <w:spacing w:line="228" w:lineRule="auto"/>
              <w:ind w:left="121"/>
              <w:jc w:val="center"/>
              <w:rPr>
                <w:rFonts w:ascii="仿宋" w:hAnsi="仿宋" w:eastAsia="仿宋" w:cs="仿宋"/>
                <w:spacing w:val="10"/>
                <w:sz w:val="19"/>
                <w:szCs w:val="19"/>
              </w:rPr>
            </w:pPr>
          </w:p>
        </w:tc>
        <w:tc>
          <w:tcPr>
            <w:tcW w:w="1507" w:type="dxa"/>
            <w:vAlign w:val="center"/>
          </w:tcPr>
          <w:p w14:paraId="0F154BB9">
            <w:pPr>
              <w:spacing w:before="62" w:line="315" w:lineRule="auto"/>
              <w:ind w:right="104" w:firstLine="190" w:firstLineChars="100"/>
              <w:rPr>
                <w:rFonts w:ascii="仿宋" w:hAnsi="仿宋" w:eastAsia="仿宋" w:cs="仿宋"/>
                <w:sz w:val="19"/>
                <w:szCs w:val="19"/>
              </w:rPr>
            </w:pPr>
            <w:r>
              <w:rPr>
                <w:rFonts w:hint="eastAsia" w:ascii="仿宋" w:hAnsi="仿宋" w:eastAsia="仿宋" w:cs="仿宋"/>
                <w:sz w:val="19"/>
                <w:szCs w:val="19"/>
              </w:rPr>
              <w:t>D24 政务信息公开情况的持续影响程度</w:t>
            </w:r>
          </w:p>
        </w:tc>
        <w:tc>
          <w:tcPr>
            <w:tcW w:w="1228" w:type="dxa"/>
            <w:vAlign w:val="center"/>
          </w:tcPr>
          <w:p w14:paraId="4ECDF735">
            <w:pPr>
              <w:spacing w:before="62" w:line="228" w:lineRule="auto"/>
              <w:jc w:val="center"/>
              <w:rPr>
                <w:rFonts w:ascii="仿宋" w:hAnsi="仿宋" w:eastAsia="仿宋" w:cs="仿宋"/>
                <w:sz w:val="19"/>
                <w:szCs w:val="19"/>
              </w:rPr>
            </w:pPr>
            <w:r>
              <w:rPr>
                <w:rFonts w:hint="eastAsia" w:ascii="仿宋" w:hAnsi="仿宋" w:eastAsia="仿宋" w:cs="仿宋"/>
                <w:sz w:val="19"/>
                <w:szCs w:val="19"/>
              </w:rPr>
              <w:t>优秀</w:t>
            </w:r>
          </w:p>
        </w:tc>
        <w:tc>
          <w:tcPr>
            <w:tcW w:w="2563" w:type="dxa"/>
            <w:vAlign w:val="center"/>
          </w:tcPr>
          <w:p w14:paraId="142DBD23">
            <w:pPr>
              <w:spacing w:before="61" w:line="314" w:lineRule="auto"/>
              <w:ind w:right="83"/>
              <w:jc w:val="left"/>
              <w:rPr>
                <w:rFonts w:ascii="仿宋" w:hAnsi="仿宋" w:eastAsia="仿宋" w:cs="仿宋"/>
                <w:spacing w:val="8"/>
                <w:sz w:val="19"/>
                <w:szCs w:val="19"/>
              </w:rPr>
            </w:pPr>
            <w:r>
              <w:rPr>
                <w:rFonts w:hint="eastAsia" w:ascii="仿宋" w:hAnsi="仿宋" w:eastAsia="仿宋" w:cs="仿宋"/>
                <w:spacing w:val="8"/>
                <w:sz w:val="19"/>
                <w:szCs w:val="19"/>
              </w:rPr>
              <w:t xml:space="preserve"> 考察南京市卫生监督所公务信息公开情况，对发展的持续影响程度</w:t>
            </w:r>
          </w:p>
        </w:tc>
        <w:tc>
          <w:tcPr>
            <w:tcW w:w="3808" w:type="dxa"/>
            <w:vAlign w:val="center"/>
          </w:tcPr>
          <w:p w14:paraId="0C5EC725">
            <w:pPr>
              <w:spacing w:before="50" w:line="296" w:lineRule="auto"/>
              <w:ind w:right="101"/>
              <w:jc w:val="left"/>
              <w:rPr>
                <w:rFonts w:ascii="仿宋" w:hAnsi="仿宋" w:eastAsia="仿宋" w:cs="仿宋"/>
                <w:sz w:val="19"/>
                <w:szCs w:val="19"/>
              </w:rPr>
            </w:pPr>
            <w:r>
              <w:rPr>
                <w:rFonts w:hint="eastAsia" w:ascii="仿宋" w:hAnsi="仿宋" w:eastAsia="仿宋" w:cs="仿宋"/>
                <w:sz w:val="19"/>
                <w:szCs w:val="19"/>
              </w:rPr>
              <w:t>按要求开展政务信息公开工作得1分，否则不得分</w:t>
            </w:r>
          </w:p>
        </w:tc>
        <w:tc>
          <w:tcPr>
            <w:tcW w:w="801" w:type="dxa"/>
            <w:vAlign w:val="center"/>
          </w:tcPr>
          <w:p w14:paraId="3AE9C9F0">
            <w:pPr>
              <w:spacing w:before="62" w:line="184" w:lineRule="auto"/>
              <w:ind w:firstLine="380" w:firstLineChars="200"/>
              <w:rPr>
                <w:rFonts w:ascii="仿宋" w:hAnsi="仿宋" w:eastAsia="仿宋" w:cs="仿宋"/>
                <w:sz w:val="19"/>
                <w:szCs w:val="19"/>
              </w:rPr>
            </w:pPr>
            <w:r>
              <w:rPr>
                <w:rFonts w:hint="eastAsia" w:ascii="仿宋" w:hAnsi="仿宋" w:eastAsia="仿宋" w:cs="仿宋"/>
                <w:sz w:val="19"/>
                <w:szCs w:val="19"/>
              </w:rPr>
              <w:t>1</w:t>
            </w:r>
          </w:p>
        </w:tc>
        <w:tc>
          <w:tcPr>
            <w:tcW w:w="809" w:type="dxa"/>
            <w:vAlign w:val="center"/>
          </w:tcPr>
          <w:p w14:paraId="628822E3">
            <w:pPr>
              <w:spacing w:before="62" w:line="184" w:lineRule="auto"/>
              <w:ind w:firstLine="380" w:firstLineChars="200"/>
              <w:rPr>
                <w:rFonts w:ascii="仿宋" w:hAnsi="仿宋" w:eastAsia="仿宋" w:cs="仿宋"/>
                <w:sz w:val="19"/>
                <w:szCs w:val="19"/>
              </w:rPr>
            </w:pPr>
            <w:r>
              <w:rPr>
                <w:rFonts w:hint="eastAsia" w:ascii="仿宋" w:hAnsi="仿宋" w:eastAsia="仿宋" w:cs="仿宋"/>
                <w:sz w:val="19"/>
                <w:szCs w:val="19"/>
              </w:rPr>
              <w:t>1</w:t>
            </w:r>
          </w:p>
        </w:tc>
      </w:tr>
      <w:tr w14:paraId="302AFD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2" w:hRule="atLeast"/>
        </w:trPr>
        <w:tc>
          <w:tcPr>
            <w:tcW w:w="1713" w:type="dxa"/>
            <w:vMerge w:val="restart"/>
            <w:vAlign w:val="center"/>
          </w:tcPr>
          <w:p w14:paraId="3B11E7BC">
            <w:pPr>
              <w:spacing w:before="61" w:line="303" w:lineRule="auto"/>
              <w:ind w:left="123" w:right="106" w:hanging="11"/>
              <w:jc w:val="center"/>
              <w:rPr>
                <w:rFonts w:ascii="仿宋" w:hAnsi="仿宋" w:eastAsia="仿宋" w:cs="仿宋"/>
                <w:sz w:val="19"/>
                <w:szCs w:val="19"/>
              </w:rPr>
            </w:pPr>
            <w:r>
              <w:rPr>
                <w:rFonts w:ascii="仿宋" w:hAnsi="仿宋" w:eastAsia="仿宋" w:cs="仿宋"/>
                <w:sz w:val="19"/>
                <w:szCs w:val="19"/>
              </w:rPr>
              <w:t>E</w:t>
            </w:r>
            <w:r>
              <w:rPr>
                <w:rFonts w:ascii="仿宋" w:hAnsi="仿宋" w:eastAsia="仿宋" w:cs="仿宋"/>
                <w:spacing w:val="22"/>
                <w:sz w:val="19"/>
                <w:szCs w:val="19"/>
              </w:rPr>
              <w:t>可持续发展能</w:t>
            </w:r>
            <w:r>
              <w:rPr>
                <w:rFonts w:ascii="仿宋" w:hAnsi="仿宋" w:eastAsia="仿宋" w:cs="仿宋"/>
                <w:sz w:val="19"/>
                <w:szCs w:val="19"/>
              </w:rPr>
              <w:t>力</w:t>
            </w:r>
          </w:p>
          <w:p w14:paraId="1706852A">
            <w:pPr>
              <w:spacing w:line="228" w:lineRule="auto"/>
              <w:ind w:left="125"/>
              <w:jc w:val="center"/>
              <w:rPr>
                <w:rFonts w:ascii="仿宋" w:hAnsi="仿宋" w:eastAsia="仿宋" w:cs="仿宋"/>
                <w:spacing w:val="-6"/>
                <w:sz w:val="19"/>
                <w:szCs w:val="19"/>
              </w:rPr>
            </w:pPr>
            <w:r>
              <w:rPr>
                <w:rFonts w:ascii="仿宋" w:hAnsi="仿宋" w:eastAsia="仿宋" w:cs="仿宋"/>
                <w:spacing w:val="-6"/>
                <w:sz w:val="19"/>
                <w:szCs w:val="19"/>
              </w:rPr>
              <w:t>(</w:t>
            </w:r>
            <w:r>
              <w:rPr>
                <w:rFonts w:hint="eastAsia" w:ascii="仿宋" w:hAnsi="仿宋" w:eastAsia="仿宋" w:cs="仿宋"/>
                <w:spacing w:val="-5"/>
                <w:sz w:val="19"/>
                <w:szCs w:val="19"/>
              </w:rPr>
              <w:t>4</w:t>
            </w:r>
            <w:r>
              <w:rPr>
                <w:rFonts w:ascii="仿宋" w:hAnsi="仿宋" w:eastAsia="仿宋" w:cs="仿宋"/>
                <w:spacing w:val="-5"/>
                <w:sz w:val="19"/>
                <w:szCs w:val="19"/>
              </w:rPr>
              <w:t>分)</w:t>
            </w:r>
          </w:p>
        </w:tc>
        <w:tc>
          <w:tcPr>
            <w:tcW w:w="1526" w:type="dxa"/>
            <w:vMerge w:val="restart"/>
            <w:vAlign w:val="center"/>
          </w:tcPr>
          <w:p w14:paraId="04DDCCC9">
            <w:pPr>
              <w:spacing w:before="61" w:line="303" w:lineRule="auto"/>
              <w:ind w:right="107"/>
              <w:jc w:val="center"/>
              <w:rPr>
                <w:rFonts w:ascii="仿宋" w:hAnsi="仿宋" w:eastAsia="仿宋" w:cs="仿宋"/>
                <w:sz w:val="19"/>
                <w:szCs w:val="19"/>
              </w:rPr>
            </w:pPr>
            <w:r>
              <w:rPr>
                <w:rFonts w:ascii="仿宋" w:hAnsi="仿宋" w:eastAsia="仿宋" w:cs="仿宋"/>
                <w:sz w:val="19"/>
                <w:szCs w:val="19"/>
              </w:rPr>
              <w:t>E</w:t>
            </w:r>
            <w:r>
              <w:rPr>
                <w:rFonts w:ascii="仿宋" w:hAnsi="仿宋" w:eastAsia="仿宋" w:cs="仿宋"/>
                <w:spacing w:val="10"/>
                <w:sz w:val="19"/>
                <w:szCs w:val="19"/>
              </w:rPr>
              <w:t xml:space="preserve">1 </w:t>
            </w:r>
            <w:r>
              <w:rPr>
                <w:rFonts w:hint="eastAsia" w:ascii="仿宋" w:hAnsi="仿宋" w:eastAsia="仿宋" w:cs="仿宋"/>
                <w:spacing w:val="10"/>
                <w:sz w:val="19"/>
                <w:szCs w:val="19"/>
              </w:rPr>
              <w:t>服务对象满意度</w:t>
            </w:r>
          </w:p>
          <w:p w14:paraId="2A48A9D6">
            <w:pPr>
              <w:spacing w:line="228" w:lineRule="auto"/>
              <w:ind w:left="121"/>
              <w:jc w:val="center"/>
              <w:rPr>
                <w:rFonts w:ascii="仿宋" w:hAnsi="仿宋" w:eastAsia="仿宋" w:cs="仿宋"/>
                <w:sz w:val="19"/>
                <w:szCs w:val="19"/>
              </w:rPr>
            </w:pPr>
            <w:r>
              <w:rPr>
                <w:rFonts w:ascii="仿宋" w:hAnsi="仿宋" w:eastAsia="仿宋" w:cs="仿宋"/>
                <w:spacing w:val="10"/>
                <w:sz w:val="19"/>
                <w:szCs w:val="19"/>
              </w:rPr>
              <w:t>(</w:t>
            </w:r>
            <w:r>
              <w:rPr>
                <w:rFonts w:hint="eastAsia" w:ascii="仿宋" w:hAnsi="仿宋" w:eastAsia="仿宋" w:cs="仿宋"/>
                <w:spacing w:val="10"/>
                <w:sz w:val="19"/>
                <w:szCs w:val="19"/>
              </w:rPr>
              <w:t>4</w:t>
            </w:r>
            <w:r>
              <w:rPr>
                <w:rFonts w:ascii="仿宋" w:hAnsi="仿宋" w:eastAsia="仿宋" w:cs="仿宋"/>
                <w:spacing w:val="10"/>
                <w:sz w:val="19"/>
                <w:szCs w:val="19"/>
              </w:rPr>
              <w:t xml:space="preserve"> 分</w:t>
            </w:r>
            <w:r>
              <w:rPr>
                <w:rFonts w:ascii="仿宋" w:hAnsi="仿宋" w:eastAsia="仿宋" w:cs="仿宋"/>
                <w:spacing w:val="9"/>
                <w:sz w:val="19"/>
                <w:szCs w:val="19"/>
              </w:rPr>
              <w:t>)</w:t>
            </w:r>
          </w:p>
        </w:tc>
        <w:tc>
          <w:tcPr>
            <w:tcW w:w="1507" w:type="dxa"/>
          </w:tcPr>
          <w:p w14:paraId="6F7E4428">
            <w:pPr>
              <w:spacing w:line="309" w:lineRule="auto"/>
              <w:rPr>
                <w:rFonts w:ascii="Arial"/>
              </w:rPr>
            </w:pPr>
          </w:p>
          <w:p w14:paraId="015EA628">
            <w:pPr>
              <w:spacing w:before="62" w:line="314" w:lineRule="auto"/>
              <w:ind w:right="104" w:firstLine="190" w:firstLineChars="100"/>
              <w:rPr>
                <w:rFonts w:ascii="仿宋" w:hAnsi="仿宋" w:eastAsia="仿宋" w:cs="仿宋"/>
                <w:sz w:val="19"/>
                <w:szCs w:val="19"/>
              </w:rPr>
            </w:pPr>
            <w:r>
              <w:rPr>
                <w:rFonts w:ascii="仿宋" w:hAnsi="仿宋" w:eastAsia="仿宋" w:cs="仿宋"/>
                <w:sz w:val="19"/>
                <w:szCs w:val="19"/>
              </w:rPr>
              <w:t>E</w:t>
            </w:r>
            <w:r>
              <w:rPr>
                <w:rFonts w:ascii="仿宋" w:hAnsi="仿宋" w:eastAsia="仿宋" w:cs="仿宋"/>
                <w:spacing w:val="11"/>
                <w:sz w:val="19"/>
                <w:szCs w:val="19"/>
              </w:rPr>
              <w:t>1</w:t>
            </w:r>
            <w:r>
              <w:rPr>
                <w:rFonts w:ascii="仿宋" w:hAnsi="仿宋" w:eastAsia="仿宋" w:cs="仿宋"/>
                <w:spacing w:val="6"/>
                <w:sz w:val="19"/>
                <w:szCs w:val="19"/>
              </w:rPr>
              <w:t xml:space="preserve">1 </w:t>
            </w:r>
            <w:r>
              <w:rPr>
                <w:rFonts w:hint="eastAsia" w:ascii="仿宋" w:hAnsi="仿宋" w:eastAsia="仿宋" w:cs="仿宋"/>
                <w:spacing w:val="6"/>
                <w:sz w:val="19"/>
                <w:szCs w:val="19"/>
              </w:rPr>
              <w:t>投诉举报查处率和办案人员未被投诉举报次数</w:t>
            </w:r>
          </w:p>
        </w:tc>
        <w:tc>
          <w:tcPr>
            <w:tcW w:w="1228" w:type="dxa"/>
          </w:tcPr>
          <w:p w14:paraId="77F9008B">
            <w:pPr>
              <w:spacing w:line="257" w:lineRule="auto"/>
              <w:rPr>
                <w:rFonts w:ascii="Arial"/>
              </w:rPr>
            </w:pPr>
          </w:p>
          <w:p w14:paraId="65359077">
            <w:pPr>
              <w:spacing w:line="257" w:lineRule="auto"/>
              <w:rPr>
                <w:rFonts w:ascii="Arial"/>
              </w:rPr>
            </w:pPr>
          </w:p>
          <w:p w14:paraId="39649CEC">
            <w:pPr>
              <w:spacing w:line="258" w:lineRule="auto"/>
              <w:rPr>
                <w:rFonts w:ascii="Arial"/>
              </w:rPr>
            </w:pPr>
          </w:p>
          <w:p w14:paraId="7916968C">
            <w:pPr>
              <w:spacing w:before="62" w:line="228" w:lineRule="auto"/>
              <w:ind w:left="452"/>
              <w:rPr>
                <w:rFonts w:ascii="仿宋" w:hAnsi="仿宋" w:eastAsia="仿宋" w:cs="仿宋"/>
                <w:sz w:val="19"/>
                <w:szCs w:val="19"/>
              </w:rPr>
            </w:pPr>
            <w:r>
              <w:rPr>
                <w:rFonts w:hint="eastAsia" w:ascii="仿宋" w:hAnsi="仿宋" w:eastAsia="仿宋" w:cs="仿宋"/>
                <w:spacing w:val="-7"/>
                <w:sz w:val="19"/>
                <w:szCs w:val="19"/>
              </w:rPr>
              <w:t>100%</w:t>
            </w:r>
          </w:p>
        </w:tc>
        <w:tc>
          <w:tcPr>
            <w:tcW w:w="2563" w:type="dxa"/>
          </w:tcPr>
          <w:p w14:paraId="75555DC7">
            <w:pPr>
              <w:spacing w:line="309" w:lineRule="auto"/>
              <w:rPr>
                <w:rFonts w:ascii="Arial"/>
              </w:rPr>
            </w:pPr>
          </w:p>
          <w:p w14:paraId="5FF2F1F6">
            <w:pPr>
              <w:spacing w:before="62" w:line="314" w:lineRule="auto"/>
              <w:ind w:left="118" w:right="107" w:firstLine="1"/>
              <w:rPr>
                <w:rFonts w:ascii="仿宋" w:hAnsi="仿宋" w:eastAsia="仿宋" w:cs="仿宋"/>
                <w:sz w:val="19"/>
                <w:szCs w:val="19"/>
              </w:rPr>
            </w:pPr>
            <w:r>
              <w:rPr>
                <w:rFonts w:hint="eastAsia" w:ascii="仿宋" w:hAnsi="仿宋" w:eastAsia="仿宋" w:cs="仿宋"/>
                <w:sz w:val="19"/>
                <w:szCs w:val="19"/>
              </w:rPr>
              <w:t>考察服务对象、 社会公众对南京市卫生监督所相关投诉举报都做出查处回复，相关 工作的满意程度。</w:t>
            </w:r>
          </w:p>
        </w:tc>
        <w:tc>
          <w:tcPr>
            <w:tcW w:w="3808" w:type="dxa"/>
            <w:vAlign w:val="center"/>
          </w:tcPr>
          <w:p w14:paraId="3F9A0874">
            <w:pPr>
              <w:spacing w:before="56" w:line="291" w:lineRule="auto"/>
              <w:ind w:left="112" w:right="104"/>
              <w:rPr>
                <w:rFonts w:ascii="仿宋" w:hAnsi="仿宋" w:eastAsia="仿宋" w:cs="仿宋"/>
                <w:spacing w:val="9"/>
                <w:sz w:val="19"/>
                <w:szCs w:val="19"/>
              </w:rPr>
            </w:pPr>
            <w:r>
              <w:rPr>
                <w:rFonts w:hint="eastAsia" w:ascii="仿宋" w:hAnsi="仿宋" w:eastAsia="仿宋" w:cs="仿宋"/>
                <w:spacing w:val="9"/>
                <w:sz w:val="19"/>
                <w:szCs w:val="19"/>
              </w:rPr>
              <w:t>1.对所有投诉举报进行查处回复，1分。</w:t>
            </w:r>
          </w:p>
          <w:p w14:paraId="16BF14DA">
            <w:pPr>
              <w:spacing w:before="56" w:line="291" w:lineRule="auto"/>
              <w:ind w:left="112" w:right="104"/>
              <w:rPr>
                <w:rFonts w:ascii="仿宋" w:hAnsi="仿宋" w:eastAsia="仿宋" w:cs="仿宋"/>
                <w:sz w:val="19"/>
                <w:szCs w:val="19"/>
              </w:rPr>
            </w:pPr>
            <w:r>
              <w:rPr>
                <w:rFonts w:hint="eastAsia" w:ascii="仿宋" w:hAnsi="仿宋" w:eastAsia="仿宋" w:cs="仿宋"/>
                <w:spacing w:val="9"/>
                <w:sz w:val="19"/>
                <w:szCs w:val="19"/>
              </w:rPr>
              <w:t>2.服务对象、社会公众对投诉举报回复满意度≧90%，得1分，每降10%扣减 20% 权重分， 扣完即止。</w:t>
            </w:r>
          </w:p>
        </w:tc>
        <w:tc>
          <w:tcPr>
            <w:tcW w:w="801" w:type="dxa"/>
          </w:tcPr>
          <w:p w14:paraId="7AAC01AD">
            <w:pPr>
              <w:spacing w:line="269" w:lineRule="auto"/>
              <w:rPr>
                <w:rFonts w:ascii="Arial"/>
              </w:rPr>
            </w:pPr>
          </w:p>
          <w:p w14:paraId="7518DF50">
            <w:pPr>
              <w:spacing w:line="270" w:lineRule="auto"/>
              <w:rPr>
                <w:rFonts w:ascii="Arial"/>
              </w:rPr>
            </w:pPr>
          </w:p>
          <w:p w14:paraId="3672B693">
            <w:pPr>
              <w:spacing w:line="270" w:lineRule="auto"/>
              <w:rPr>
                <w:rFonts w:ascii="Arial"/>
              </w:rPr>
            </w:pPr>
          </w:p>
          <w:p w14:paraId="651A02A6">
            <w:pPr>
              <w:spacing w:before="62" w:line="184" w:lineRule="auto"/>
              <w:ind w:left="359"/>
              <w:rPr>
                <w:rFonts w:ascii="仿宋" w:hAnsi="仿宋" w:eastAsia="仿宋" w:cs="仿宋"/>
                <w:sz w:val="19"/>
                <w:szCs w:val="19"/>
              </w:rPr>
            </w:pPr>
            <w:r>
              <w:rPr>
                <w:rFonts w:hint="eastAsia" w:ascii="仿宋" w:hAnsi="仿宋" w:eastAsia="仿宋" w:cs="仿宋"/>
                <w:sz w:val="19"/>
                <w:szCs w:val="19"/>
              </w:rPr>
              <w:t>2</w:t>
            </w:r>
          </w:p>
        </w:tc>
        <w:tc>
          <w:tcPr>
            <w:tcW w:w="809" w:type="dxa"/>
          </w:tcPr>
          <w:p w14:paraId="1A36E36A">
            <w:pPr>
              <w:spacing w:line="269" w:lineRule="auto"/>
              <w:rPr>
                <w:rFonts w:ascii="Arial"/>
              </w:rPr>
            </w:pPr>
          </w:p>
          <w:p w14:paraId="3BE0B677">
            <w:pPr>
              <w:spacing w:line="270" w:lineRule="auto"/>
              <w:rPr>
                <w:rFonts w:ascii="Arial"/>
              </w:rPr>
            </w:pPr>
          </w:p>
          <w:p w14:paraId="5FD01D90">
            <w:pPr>
              <w:spacing w:line="270" w:lineRule="auto"/>
              <w:rPr>
                <w:rFonts w:ascii="Arial"/>
              </w:rPr>
            </w:pPr>
          </w:p>
          <w:p w14:paraId="6A6B4606">
            <w:pPr>
              <w:spacing w:before="62" w:line="184" w:lineRule="auto"/>
              <w:ind w:left="360"/>
              <w:rPr>
                <w:rFonts w:ascii="仿宋" w:hAnsi="仿宋" w:eastAsia="仿宋" w:cs="仿宋"/>
                <w:sz w:val="19"/>
                <w:szCs w:val="19"/>
              </w:rPr>
            </w:pPr>
            <w:r>
              <w:rPr>
                <w:rFonts w:hint="eastAsia" w:ascii="仿宋" w:hAnsi="仿宋" w:eastAsia="仿宋" w:cs="仿宋"/>
                <w:sz w:val="19"/>
                <w:szCs w:val="19"/>
              </w:rPr>
              <w:t>2</w:t>
            </w:r>
          </w:p>
        </w:tc>
      </w:tr>
      <w:tr w14:paraId="001057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2" w:hRule="atLeast"/>
        </w:trPr>
        <w:tc>
          <w:tcPr>
            <w:tcW w:w="1713" w:type="dxa"/>
            <w:vMerge w:val="continue"/>
          </w:tcPr>
          <w:p w14:paraId="61F8FCCF">
            <w:pPr>
              <w:spacing w:line="228" w:lineRule="auto"/>
              <w:ind w:left="125"/>
              <w:rPr>
                <w:rFonts w:ascii="仿宋" w:hAnsi="仿宋" w:eastAsia="仿宋" w:cs="仿宋"/>
                <w:spacing w:val="-6"/>
                <w:sz w:val="19"/>
                <w:szCs w:val="19"/>
              </w:rPr>
            </w:pPr>
          </w:p>
        </w:tc>
        <w:tc>
          <w:tcPr>
            <w:tcW w:w="1526" w:type="dxa"/>
            <w:vMerge w:val="continue"/>
          </w:tcPr>
          <w:p w14:paraId="50216146">
            <w:pPr>
              <w:spacing w:line="228" w:lineRule="auto"/>
              <w:ind w:left="121"/>
              <w:jc w:val="center"/>
              <w:rPr>
                <w:rFonts w:ascii="仿宋" w:hAnsi="仿宋" w:eastAsia="仿宋" w:cs="仿宋"/>
                <w:spacing w:val="10"/>
                <w:sz w:val="19"/>
                <w:szCs w:val="19"/>
              </w:rPr>
            </w:pPr>
          </w:p>
        </w:tc>
        <w:tc>
          <w:tcPr>
            <w:tcW w:w="1507" w:type="dxa"/>
            <w:vAlign w:val="center"/>
          </w:tcPr>
          <w:p w14:paraId="3EFD7885">
            <w:pPr>
              <w:spacing w:before="62" w:line="314" w:lineRule="auto"/>
              <w:ind w:left="116" w:right="104" w:hanging="8"/>
              <w:rPr>
                <w:rFonts w:ascii="仿宋" w:hAnsi="仿宋" w:eastAsia="仿宋" w:cs="仿宋"/>
                <w:sz w:val="19"/>
                <w:szCs w:val="19"/>
              </w:rPr>
            </w:pPr>
            <w:r>
              <w:rPr>
                <w:rFonts w:hint="eastAsia" w:ascii="仿宋" w:hAnsi="仿宋" w:eastAsia="仿宋" w:cs="仿宋"/>
                <w:sz w:val="19"/>
                <w:szCs w:val="19"/>
              </w:rPr>
              <w:t>E12 医疗机构评审工作满意度达标</w:t>
            </w:r>
          </w:p>
        </w:tc>
        <w:tc>
          <w:tcPr>
            <w:tcW w:w="1228" w:type="dxa"/>
            <w:vAlign w:val="center"/>
          </w:tcPr>
          <w:p w14:paraId="18632E08">
            <w:pPr>
              <w:spacing w:before="62" w:line="228" w:lineRule="auto"/>
              <w:ind w:left="452"/>
              <w:rPr>
                <w:rFonts w:ascii="仿宋" w:hAnsi="仿宋" w:eastAsia="仿宋" w:cs="仿宋"/>
                <w:spacing w:val="-7"/>
                <w:sz w:val="19"/>
                <w:szCs w:val="19"/>
              </w:rPr>
            </w:pPr>
            <w:r>
              <w:rPr>
                <w:rFonts w:hint="eastAsia" w:ascii="仿宋" w:hAnsi="仿宋" w:eastAsia="仿宋" w:cs="仿宋"/>
                <w:sz w:val="19"/>
                <w:szCs w:val="19"/>
              </w:rPr>
              <w:t>≧95%</w:t>
            </w:r>
          </w:p>
        </w:tc>
        <w:tc>
          <w:tcPr>
            <w:tcW w:w="2563" w:type="dxa"/>
            <w:vAlign w:val="center"/>
          </w:tcPr>
          <w:p w14:paraId="641B9789">
            <w:pPr>
              <w:spacing w:before="62" w:line="314" w:lineRule="auto"/>
              <w:ind w:left="118" w:right="107" w:firstLine="1"/>
              <w:rPr>
                <w:rFonts w:ascii="仿宋" w:hAnsi="仿宋" w:eastAsia="仿宋" w:cs="仿宋"/>
                <w:sz w:val="19"/>
                <w:szCs w:val="19"/>
              </w:rPr>
            </w:pPr>
            <w:r>
              <w:rPr>
                <w:rFonts w:hint="eastAsia" w:ascii="仿宋" w:hAnsi="仿宋" w:eastAsia="仿宋" w:cs="仿宋"/>
                <w:sz w:val="19"/>
                <w:szCs w:val="19"/>
              </w:rPr>
              <w:t>考察服务对象对南京市卫生监督所医疗机构评审工作满意度情况。</w:t>
            </w:r>
          </w:p>
        </w:tc>
        <w:tc>
          <w:tcPr>
            <w:tcW w:w="3808" w:type="dxa"/>
            <w:vAlign w:val="center"/>
          </w:tcPr>
          <w:p w14:paraId="571F5DEF">
            <w:pPr>
              <w:spacing w:before="56" w:line="291" w:lineRule="auto"/>
              <w:ind w:left="112" w:right="104"/>
              <w:rPr>
                <w:rFonts w:ascii="仿宋" w:hAnsi="仿宋" w:eastAsia="仿宋" w:cs="仿宋"/>
                <w:sz w:val="19"/>
                <w:szCs w:val="19"/>
              </w:rPr>
            </w:pPr>
            <w:r>
              <w:rPr>
                <w:rFonts w:hint="eastAsia" w:ascii="仿宋" w:hAnsi="仿宋" w:eastAsia="仿宋" w:cs="仿宋"/>
                <w:spacing w:val="9"/>
                <w:sz w:val="19"/>
                <w:szCs w:val="19"/>
              </w:rPr>
              <w:t>服务对象、对评审工作满意度≧95%，得2分，每降10%扣减 20% 权重分， 扣完即止。</w:t>
            </w:r>
          </w:p>
        </w:tc>
        <w:tc>
          <w:tcPr>
            <w:tcW w:w="801" w:type="dxa"/>
            <w:vAlign w:val="center"/>
          </w:tcPr>
          <w:p w14:paraId="6BC6CB99">
            <w:pPr>
              <w:spacing w:before="62" w:line="184" w:lineRule="auto"/>
              <w:ind w:left="359"/>
              <w:rPr>
                <w:rFonts w:ascii="仿宋" w:hAnsi="仿宋" w:eastAsia="仿宋" w:cs="仿宋"/>
                <w:sz w:val="19"/>
                <w:szCs w:val="19"/>
              </w:rPr>
            </w:pPr>
            <w:r>
              <w:rPr>
                <w:rFonts w:hint="eastAsia" w:ascii="仿宋" w:hAnsi="仿宋" w:eastAsia="仿宋" w:cs="仿宋"/>
                <w:sz w:val="19"/>
                <w:szCs w:val="19"/>
              </w:rPr>
              <w:t>2</w:t>
            </w:r>
          </w:p>
        </w:tc>
        <w:tc>
          <w:tcPr>
            <w:tcW w:w="809" w:type="dxa"/>
            <w:vAlign w:val="center"/>
          </w:tcPr>
          <w:p w14:paraId="7368FF6A">
            <w:pPr>
              <w:spacing w:before="62" w:line="184" w:lineRule="auto"/>
              <w:ind w:left="360"/>
              <w:rPr>
                <w:rFonts w:ascii="仿宋" w:hAnsi="仿宋" w:eastAsia="仿宋" w:cs="仿宋"/>
                <w:sz w:val="19"/>
                <w:szCs w:val="19"/>
              </w:rPr>
            </w:pPr>
            <w:r>
              <w:rPr>
                <w:rFonts w:hint="eastAsia" w:ascii="仿宋" w:hAnsi="仿宋" w:eastAsia="仿宋" w:cs="仿宋"/>
                <w:sz w:val="19"/>
                <w:szCs w:val="19"/>
              </w:rPr>
              <w:t>2</w:t>
            </w:r>
          </w:p>
        </w:tc>
      </w:tr>
    </w:tbl>
    <w:p w14:paraId="32D9B759">
      <w:pPr>
        <w:sectPr>
          <w:pgSz w:w="16839" w:h="11906"/>
          <w:pgMar w:top="1012" w:right="1330" w:bottom="400" w:left="1327" w:header="0" w:footer="0" w:gutter="0"/>
          <w:cols w:space="720" w:num="1"/>
        </w:sectPr>
      </w:pPr>
    </w:p>
    <w:p w14:paraId="3F073E23">
      <w:pPr>
        <w:spacing w:line="580" w:lineRule="exact"/>
        <w:rPr>
          <w:rFonts w:ascii="仿宋" w:hAnsi="仿宋" w:eastAsia="仿宋"/>
          <w:sz w:val="30"/>
          <w:szCs w:val="30"/>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楷体_GBK">
    <w:panose1 w:val="02000000000000000000"/>
    <w:charset w:val="86"/>
    <w:family w:val="script"/>
    <w:pitch w:val="default"/>
    <w:sig w:usb0="800002BF" w:usb1="38CF7CFA" w:usb2="00000016" w:usb3="00000000" w:csb0="00040000" w:csb1="00000000"/>
  </w:font>
  <w:font w:name="方正仿宋_GBK">
    <w:panose1 w:val="02000000000000000000"/>
    <w:charset w:val="86"/>
    <w:family w:val="script"/>
    <w:pitch w:val="default"/>
    <w:sig w:usb0="00000001" w:usb1="080E0000" w:usb2="00000000" w:usb3="00000000" w:csb0="00040000" w:csb1="00000000"/>
  </w:font>
  <w:font w:name="方正小标宋简体">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90391E"/>
    <w:multiLevelType w:val="singleLevel"/>
    <w:tmpl w:val="B290391E"/>
    <w:lvl w:ilvl="0" w:tentative="0">
      <w:start w:val="3"/>
      <w:numFmt w:val="chineseCounting"/>
      <w:suff w:val="nothing"/>
      <w:lvlText w:val="%1、"/>
      <w:lvlJc w:val="left"/>
      <w:rPr>
        <w:rFonts w:hint="eastAsia"/>
      </w:rPr>
    </w:lvl>
  </w:abstractNum>
  <w:abstractNum w:abstractNumId="1">
    <w:nsid w:val="B66DF0CF"/>
    <w:multiLevelType w:val="singleLevel"/>
    <w:tmpl w:val="B66DF0CF"/>
    <w:lvl w:ilvl="0" w:tentative="0">
      <w:start w:val="3"/>
      <w:numFmt w:val="chineseCounting"/>
      <w:suff w:val="nothing"/>
      <w:lvlText w:val="（%1）"/>
      <w:lvlJc w:val="left"/>
      <w:rPr>
        <w:rFonts w:hint="eastAsia"/>
      </w:rPr>
    </w:lvl>
  </w:abstractNum>
  <w:abstractNum w:abstractNumId="2">
    <w:nsid w:val="F4537CB3"/>
    <w:multiLevelType w:val="singleLevel"/>
    <w:tmpl w:val="F4537CB3"/>
    <w:lvl w:ilvl="0" w:tentative="0">
      <w:start w:val="1"/>
      <w:numFmt w:val="decimal"/>
      <w:lvlText w:val="%1."/>
      <w:lvlJc w:val="left"/>
      <w:pPr>
        <w:tabs>
          <w:tab w:val="left" w:pos="312"/>
        </w:tabs>
      </w:pPr>
    </w:lvl>
  </w:abstractNum>
  <w:abstractNum w:abstractNumId="3">
    <w:nsid w:val="1F7D66C0"/>
    <w:multiLevelType w:val="singleLevel"/>
    <w:tmpl w:val="1F7D66C0"/>
    <w:lvl w:ilvl="0" w:tentative="0">
      <w:start w:val="4"/>
      <w:numFmt w:val="chineseCounting"/>
      <w:suff w:val="nothing"/>
      <w:lvlText w:val="%1、"/>
      <w:lvlJc w:val="left"/>
      <w:rPr>
        <w:rFonts w:hint="eastAsia"/>
      </w:rPr>
    </w:lvl>
  </w:abstractNum>
  <w:abstractNum w:abstractNumId="4">
    <w:nsid w:val="479895E6"/>
    <w:multiLevelType w:val="singleLevel"/>
    <w:tmpl w:val="479895E6"/>
    <w:lvl w:ilvl="0" w:tentative="0">
      <w:start w:val="2"/>
      <w:numFmt w:val="chineseCounting"/>
      <w:suff w:val="nothing"/>
      <w:lvlText w:val="（%1）"/>
      <w:lvlJc w:val="left"/>
      <w:rPr>
        <w:rFonts w:hint="eastAsia"/>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2NhNjljOWMxNWUwZGU1OTE5YjA4OGM0OGI5YzRkMTUifQ=="/>
  </w:docVars>
  <w:rsids>
    <w:rsidRoot w:val="00122121"/>
    <w:rsid w:val="000E65BD"/>
    <w:rsid w:val="00122121"/>
    <w:rsid w:val="0028791D"/>
    <w:rsid w:val="00336904"/>
    <w:rsid w:val="004874D5"/>
    <w:rsid w:val="00626CED"/>
    <w:rsid w:val="006F2A6B"/>
    <w:rsid w:val="00955CC1"/>
    <w:rsid w:val="00A9081A"/>
    <w:rsid w:val="00B7360A"/>
    <w:rsid w:val="00CC6AE3"/>
    <w:rsid w:val="00DE110D"/>
    <w:rsid w:val="00F04EFC"/>
    <w:rsid w:val="00F94784"/>
    <w:rsid w:val="00F973D4"/>
    <w:rsid w:val="03CE7937"/>
    <w:rsid w:val="045F48DC"/>
    <w:rsid w:val="06D67FD4"/>
    <w:rsid w:val="09035BD0"/>
    <w:rsid w:val="09442E8E"/>
    <w:rsid w:val="0BDF3495"/>
    <w:rsid w:val="0F845361"/>
    <w:rsid w:val="104D2227"/>
    <w:rsid w:val="142F4940"/>
    <w:rsid w:val="19717EAA"/>
    <w:rsid w:val="19B942FE"/>
    <w:rsid w:val="1B633FCD"/>
    <w:rsid w:val="1D487BF0"/>
    <w:rsid w:val="1F4B7FF0"/>
    <w:rsid w:val="22EC7696"/>
    <w:rsid w:val="24D2692C"/>
    <w:rsid w:val="250F7AEA"/>
    <w:rsid w:val="2779567A"/>
    <w:rsid w:val="292A065F"/>
    <w:rsid w:val="29823AD9"/>
    <w:rsid w:val="2B172A86"/>
    <w:rsid w:val="2E3542A0"/>
    <w:rsid w:val="31431D71"/>
    <w:rsid w:val="345C31CC"/>
    <w:rsid w:val="393032B1"/>
    <w:rsid w:val="3E081DDA"/>
    <w:rsid w:val="414E36E9"/>
    <w:rsid w:val="43EA08CD"/>
    <w:rsid w:val="44470118"/>
    <w:rsid w:val="45615FF6"/>
    <w:rsid w:val="47FB4FCE"/>
    <w:rsid w:val="4A9E07A6"/>
    <w:rsid w:val="4ECC6F2F"/>
    <w:rsid w:val="54BB2942"/>
    <w:rsid w:val="54E004F6"/>
    <w:rsid w:val="550A0795"/>
    <w:rsid w:val="58B56EE0"/>
    <w:rsid w:val="5DE33459"/>
    <w:rsid w:val="5F3963D5"/>
    <w:rsid w:val="5FBB79FE"/>
    <w:rsid w:val="5FCA1A1F"/>
    <w:rsid w:val="5FF3589F"/>
    <w:rsid w:val="68EB7AAB"/>
    <w:rsid w:val="6ACB23E1"/>
    <w:rsid w:val="6CD92CF9"/>
    <w:rsid w:val="6D026C07"/>
    <w:rsid w:val="6DED1CE2"/>
    <w:rsid w:val="6FA83373"/>
    <w:rsid w:val="70835A85"/>
    <w:rsid w:val="72CF5C2E"/>
    <w:rsid w:val="7329156C"/>
    <w:rsid w:val="74130A32"/>
    <w:rsid w:val="74326D1A"/>
    <w:rsid w:val="78617A8A"/>
    <w:rsid w:val="7A0E484B"/>
    <w:rsid w:val="7B5B0730"/>
    <w:rsid w:val="7C39042E"/>
    <w:rsid w:val="7CE309DD"/>
    <w:rsid w:val="7D776CA2"/>
    <w:rsid w:val="7EC7762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首行缩进"/>
    <w:basedOn w:val="1"/>
    <w:qFormat/>
    <w:uiPriority w:val="0"/>
    <w:pPr>
      <w:spacing w:line="360" w:lineRule="auto"/>
      <w:ind w:firstLine="480" w:firstLineChars="200"/>
      <w:jc w:val="left"/>
    </w:pPr>
    <w:rPr>
      <w:rFonts w:ascii="宋体" w:hAnsi="宋体"/>
      <w:sz w:val="24"/>
    </w:rPr>
  </w:style>
  <w:style w:type="paragraph" w:styleId="3">
    <w:name w:val="Normal Indent"/>
    <w:basedOn w:val="1"/>
    <w:unhideWhenUsed/>
    <w:qFormat/>
    <w:uiPriority w:val="99"/>
    <w:pPr>
      <w:ind w:firstLine="420" w:firstLineChars="200"/>
    </w:pPr>
  </w:style>
  <w:style w:type="paragraph" w:styleId="4">
    <w:name w:val="footer"/>
    <w:basedOn w:val="1"/>
    <w:link w:val="9"/>
    <w:qFormat/>
    <w:uiPriority w:val="0"/>
    <w:pPr>
      <w:tabs>
        <w:tab w:val="center" w:pos="4153"/>
        <w:tab w:val="right" w:pos="8306"/>
      </w:tabs>
      <w:snapToGrid w:val="0"/>
      <w:jc w:val="left"/>
    </w:pPr>
    <w:rPr>
      <w:sz w:val="18"/>
      <w:szCs w:val="18"/>
    </w:rPr>
  </w:style>
  <w:style w:type="paragraph" w:styleId="5">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0"/>
    <w:rPr>
      <w:kern w:val="2"/>
      <w:sz w:val="18"/>
      <w:szCs w:val="18"/>
    </w:rPr>
  </w:style>
  <w:style w:type="character" w:customStyle="1" w:styleId="9">
    <w:name w:val="页脚 Char"/>
    <w:basedOn w:val="7"/>
    <w:link w:val="4"/>
    <w:qFormat/>
    <w:uiPriority w:val="0"/>
    <w:rPr>
      <w:kern w:val="2"/>
      <w:sz w:val="18"/>
      <w:szCs w:val="18"/>
    </w:rPr>
  </w:style>
  <w:style w:type="table" w:customStyle="1" w:styleId="10">
    <w:name w:val="Table Normal"/>
    <w:semiHidden/>
    <w:unhideWhenUsed/>
    <w:qFormat/>
    <w:uiPriority w:val="0"/>
    <w:tblPr>
      <w:tblCellMar>
        <w:top w:w="0" w:type="dxa"/>
        <w:left w:w="0" w:type="dxa"/>
        <w:bottom w:w="0" w:type="dxa"/>
        <w:right w:w="0" w:type="dxa"/>
      </w:tblCellMar>
    </w:tblPr>
  </w:style>
  <w:style w:type="character" w:customStyle="1" w:styleId="11">
    <w:name w:val="font11"/>
    <w:basedOn w:val="7"/>
    <w:qFormat/>
    <w:uiPriority w:val="0"/>
    <w:rPr>
      <w:rFonts w:hint="eastAsia" w:ascii="宋体" w:hAnsi="宋体" w:eastAsia="宋体" w:cs="宋体"/>
      <w:b/>
      <w:bCs/>
      <w:color w:val="000000"/>
      <w:sz w:val="24"/>
      <w:szCs w:val="24"/>
      <w:u w:val="none"/>
    </w:rPr>
  </w:style>
  <w:style w:type="character" w:customStyle="1" w:styleId="12">
    <w:name w:val="font01"/>
    <w:basedOn w:val="7"/>
    <w:qFormat/>
    <w:uiPriority w:val="0"/>
    <w:rPr>
      <w:rFonts w:hint="eastAsia" w:ascii="宋体" w:hAnsi="宋体" w:eastAsia="宋体" w:cs="宋体"/>
      <w:color w:val="000000"/>
      <w:sz w:val="24"/>
      <w:szCs w:val="24"/>
      <w:u w:val="none"/>
    </w:rPr>
  </w:style>
  <w:style w:type="paragraph" w:styleId="13">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22</Pages>
  <Words>9696</Words>
  <Characters>10281</Characters>
  <Lines>20</Lines>
  <Paragraphs>27</Paragraphs>
  <TotalTime>43</TotalTime>
  <ScaleCrop>false</ScaleCrop>
  <LinksUpToDate>false</LinksUpToDate>
  <CharactersWithSpaces>10634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"Somnus/__</cp:lastModifiedBy>
  <cp:lastPrinted>2022-06-23T02:06:00Z</cp:lastPrinted>
  <dcterms:modified xsi:type="dcterms:W3CDTF">2026-07-29T07:29:14Z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CEF97E0370564BC3A1EE66C05228E51E</vt:lpwstr>
  </property>
  <property fmtid="{D5CDD505-2E9C-101B-9397-08002B2CF9AE}" pid="4" name="KSOTemplateDocerSaveRecord">
    <vt:lpwstr>eyJoZGlkIjoiYmUwNjFhYTQ5ODU2ODZmMjRlNjBhOGQ2MTRiNDRiNGUiLCJ1c2VySWQiOiIyMjUyNTAyMTMifQ==</vt:lpwstr>
  </property>
</Properties>
</file>